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PROWL</w:t>
      </w:r>
    </w:p>
    <w:p>
      <w:pPr>
        <w:spacing w:after="160"/>
        <w:jc w:val="center"/>
      </w:pPr>
      <w:r>
        <w:rPr>
          <w:b/>
          <w:bCs/>
          <w:color w:val="147D73"/>
          <w:sz w:val="20"/>
          <w:szCs w:val="20"/>
        </w:rPr>
        <w:t xml:space="preserve">Pancreatic Review and Outlining</w:t>
      </w:r>
    </w:p>
    <w:p>
      <w:pPr>
        <w:spacing w:after="420"/>
        <w:jc w:val="center"/>
      </w:pPr>
      <w:r>
        <w:rPr>
          <w:b/>
          <w:bCs/>
          <w:color w:val="147D73"/>
          <w:sz w:val="20"/>
          <w:szCs w:val="20"/>
        </w:rPr>
        <w:t xml:space="preserve">Workflow for Lesions</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PROWL. </w:t>
      </w:r>
      <w:r>
        <w:t xml:space="preserve">PROWL stands for Pancreatic Review and Outlining Workflow for Lesions. The name follows the intended workflow: the system locates the pancreas, outlines suspected lesions, and returns its proposed contours to a radiologist for review, editing, or rejection.</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plan targets completion of the committed system by the end of Week 8, leaving Week 9 as protected buffer and stabilization time and Week 10 for delivery and presentation. UI and UX refinement has dedicated work in Week 7. Unit tests are added with each component, followed by full unit, integration, and regression testing in Week 8. Stretch work will not consume the buffer.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Architecture and test planning</w:t>
            </w:r>
          </w:p>
        </w:tc>
        <w:tc>
          <w:tcPr>
            <w:tcW w:type="dxa" w:w="3300"/>
            <w:tcMar>
              <w:top w:type="dxa" w:w="100"/>
              <w:left w:type="dxa" w:w="120"/>
              <w:bottom w:type="dxa" w:w="100"/>
              <w:right w:type="dxa" w:w="120"/>
            </w:tcMar>
            <w:vAlign w:val="center"/>
          </w:tcPr>
          <w:p>
            <w:pPr>
              <w:pStyle w:val="TableText"/>
            </w:pPr>
            <w:r>
              <w:t xml:space="preserve">Confirm data design, retrieval requirements, workflow DAG, UI-extension requirements, and the unit/integration test strategy.</w:t>
            </w:r>
          </w:p>
        </w:tc>
        <w:tc>
          <w:tcPr>
            <w:tcW w:type="dxa" w:w="3000"/>
            <w:tcMar>
              <w:top w:type="dxa" w:w="100"/>
              <w:left w:type="dxa" w:w="120"/>
              <w:bottom w:type="dxa" w:w="100"/>
              <w:right w:type="dxa" w:w="120"/>
            </w:tcMar>
            <w:vAlign w:val="center"/>
          </w:tcPr>
          <w:p>
            <w:pPr>
              <w:pStyle w:val="TableText"/>
            </w:pPr>
            <w:r>
              <w:t xml:space="preserve">Approved architecture, acceptance criteria, workflow design, and test plan.</w:t>
            </w:r>
          </w:p>
        </w:tc>
        <w:tc>
          <w:tcPr>
            <w:tcW w:type="dxa" w:w="1750"/>
            <w:tcMar>
              <w:top w:type="dxa" w:w="100"/>
              <w:left w:type="dxa" w:w="120"/>
              <w:bottom w:type="dxa" w:w="100"/>
              <w:right w:type="dxa" w:w="120"/>
            </w:tcMar>
            <w:vAlign w:val="center"/>
          </w:tcPr>
          <w:p>
            <w:pPr>
              <w:pStyle w:val="TableText"/>
            </w:pPr>
            <w:r>
              <w:t xml:space="preserve">Data, retrieval, orchestration, or test criteria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Reproduce cohorts and add unit tests for patient separation, manifests, and repeatability.</w:t>
            </w:r>
          </w:p>
        </w:tc>
        <w:tc>
          <w:tcPr>
            <w:tcW w:type="dxa" w:w="3000"/>
            <w:shd w:fill="F4F6F8" w:color="auto" w:val="clear"/>
            <w:tcMar>
              <w:top w:type="dxa" w:w="100"/>
              <w:left w:type="dxa" w:w="120"/>
              <w:bottom w:type="dxa" w:w="100"/>
              <w:right w:type="dxa" w:w="120"/>
            </w:tcMar>
            <w:vAlign w:val="center"/>
          </w:tcPr>
          <w:p>
            <w:pPr>
              <w:pStyle w:val="TableText"/>
            </w:pPr>
            <w:r>
              <w:t xml:space="preserve">Frozen cohorts with passing tests for patient separation, manifest validity, and reproducibility.</w:t>
            </w:r>
          </w:p>
        </w:tc>
        <w:tc>
          <w:tcPr>
            <w:tcW w:type="dxa" w:w="1750"/>
            <w:shd w:fill="F4F6F8" w:color="auto" w:val="clear"/>
            <w:tcMar>
              <w:top w:type="dxa" w:w="100"/>
              <w:left w:type="dxa" w:w="120"/>
              <w:bottom w:type="dxa" w:w="100"/>
              <w:right w:type="dxa" w:w="120"/>
            </w:tcMar>
            <w:vAlign w:val="center"/>
          </w:tcPr>
          <w:p>
            <w:pPr>
              <w:pStyle w:val="TableText"/>
            </w:pPr>
            <w:r>
              <w:t xml:space="preserve">A patient can cross groups or a data-control test fails.</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Second-source integration</w:t>
            </w:r>
          </w:p>
        </w:tc>
        <w:tc>
          <w:tcPr>
            <w:tcW w:type="dxa" w:w="3300"/>
            <w:tcMar>
              <w:top w:type="dxa" w:w="100"/>
              <w:left w:type="dxa" w:w="120"/>
              <w:bottom w:type="dxa" w:w="100"/>
              <w:right w:type="dxa" w:w="120"/>
            </w:tcMar>
            <w:vAlign w:val="center"/>
          </w:tcPr>
          <w:p>
            <w:pPr>
              <w:pStyle w:val="TableText"/>
            </w:pPr>
            <w:r>
              <w:t xml:space="preserve">Integrate PANORAMA with tested label mapping, provenance, exclusions, and duplicate controls.</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passing reconciliation tests.</w:t>
            </w:r>
          </w:p>
        </w:tc>
        <w:tc>
          <w:tcPr>
            <w:tcW w:type="dxa" w:w="1750"/>
            <w:tcMar>
              <w:top w:type="dxa" w:w="100"/>
              <w:left w:type="dxa" w:w="120"/>
              <w:bottom w:type="dxa" w:w="100"/>
              <w:right w:type="dxa" w:w="120"/>
            </w:tcMar>
            <w:vAlign w:val="center"/>
          </w:tcPr>
          <w:p>
            <w:pPr>
              <w:pStyle w:val="TableText"/>
            </w:pPr>
            <w:r>
              <w:t xml:space="preserve">Source differences or exclusions cannot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pipeline and orchestration</w:t>
            </w:r>
          </w:p>
        </w:tc>
        <w:tc>
          <w:tcPr>
            <w:tcW w:type="dxa" w:w="3300"/>
            <w:shd w:fill="F4F6F8" w:color="auto" w:val="clear"/>
            <w:tcMar>
              <w:top w:type="dxa" w:w="100"/>
              <w:left w:type="dxa" w:w="120"/>
              <w:bottom w:type="dxa" w:w="100"/>
              <w:right w:type="dxa" w:w="120"/>
            </w:tcMar>
            <w:vAlign w:val="center"/>
          </w:tcPr>
          <w:p>
            <w:pPr>
              <w:pStyle w:val="TableText"/>
            </w:pPr>
            <w:r>
              <w:t xml:space="preserve">Produce reproducible training inputs and implement the tested preprocessing and workflow DAG.</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inputs and a tested, restartable workflow DAG.</w:t>
            </w:r>
          </w:p>
        </w:tc>
        <w:tc>
          <w:tcPr>
            <w:tcW w:type="dxa" w:w="1750"/>
            <w:shd w:fill="F4F6F8" w:color="auto" w:val="clear"/>
            <w:tcMar>
              <w:top w:type="dxa" w:w="100"/>
              <w:left w:type="dxa" w:w="120"/>
              <w:bottom w:type="dxa" w:w="100"/>
              <w:right w:type="dxa" w:w="120"/>
            </w:tcMar>
            <w:vAlign w:val="center"/>
          </w:tcPr>
          <w:p>
            <w:pPr>
              <w:pStyle w:val="TableText"/>
            </w:pPr>
            <w:r>
              <w:t xml:space="preserve">A pipeline stage cannot be reproduced, tested, or safely restarted.</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 and retrieval foundation</w:t>
            </w:r>
          </w:p>
        </w:tc>
        <w:tc>
          <w:tcPr>
            <w:tcW w:type="dxa" w:w="3300"/>
            <w:tcMar>
              <w:top w:type="dxa" w:w="100"/>
              <w:left w:type="dxa" w:w="120"/>
              <w:bottom w:type="dxa" w:w="100"/>
              <w:right w:type="dxa" w:w="120"/>
            </w:tcMar>
            <w:vAlign w:val="center"/>
          </w:tcPr>
          <w:p>
            <w:pPr>
              <w:pStyle w:val="TableText"/>
            </w:pPr>
            <w:r>
              <w:t xml:space="preserve">Establish the imaging baseline; use model-training time to ingest literature and create the retrieval-index prototype.</w:t>
            </w:r>
          </w:p>
        </w:tc>
        <w:tc>
          <w:tcPr>
            <w:tcW w:type="dxa" w:w="3000"/>
            <w:tcMar>
              <w:top w:type="dxa" w:w="100"/>
              <w:left w:type="dxa" w:w="120"/>
              <w:bottom w:type="dxa" w:w="100"/>
              <w:right w:type="dxa" w:w="120"/>
            </w:tcMar>
            <w:vAlign w:val="center"/>
          </w:tcPr>
          <w:p>
            <w:pPr>
              <w:pStyle w:val="TableText"/>
            </w:pPr>
            <w:r>
              <w:t xml:space="preserve">Held-out baseline, error analysis, and a versioned, queryable retrieval prototype.</w:t>
            </w:r>
          </w:p>
        </w:tc>
        <w:tc>
          <w:tcPr>
            <w:tcW w:type="dxa" w:w="1750"/>
            <w:tcMar>
              <w:top w:type="dxa" w:w="100"/>
              <w:left w:type="dxa" w:w="120"/>
              <w:bottom w:type="dxa" w:w="100"/>
              <w:right w:type="dxa" w:w="120"/>
            </w:tcMar>
            <w:vAlign w:val="center"/>
          </w:tcPr>
          <w:p>
            <w:pPr>
              <w:pStyle w:val="TableText"/>
            </w:pPr>
            <w:r>
              <w:t xml:space="preserve">The baseline cannot run end to end or the retrieval prototype is not queryable.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 and retrieval evaluation</w:t>
            </w:r>
          </w:p>
        </w:tc>
        <w:tc>
          <w:tcPr>
            <w:tcW w:type="dxa" w:w="3300"/>
            <w:shd w:fill="F4F6F8" w:color="auto" w:val="clear"/>
            <w:tcMar>
              <w:top w:type="dxa" w:w="100"/>
              <w:left w:type="dxa" w:w="120"/>
              <w:bottom w:type="dxa" w:w="100"/>
              <w:right w:type="dxa" w:w="120"/>
            </w:tcMar>
            <w:vAlign w:val="center"/>
          </w:tcPr>
          <w:p>
            <w:pPr>
              <w:pStyle w:val="TableText"/>
            </w:pPr>
            <w:r>
              <w:t xml:space="preserve">Complete one controlled model comparison, evaluate the false-alarm tradeoff, and measure retrieval quality.</w:t>
            </w:r>
          </w:p>
        </w:tc>
        <w:tc>
          <w:tcPr>
            <w:tcW w:type="dxa" w:w="3000"/>
            <w:shd w:fill="F4F6F8" w:color="auto" w:val="clear"/>
            <w:tcMar>
              <w:top w:type="dxa" w:w="100"/>
              <w:left w:type="dxa" w:w="120"/>
              <w:bottom w:type="dxa" w:w="100"/>
              <w:right w:type="dxa" w:w="120"/>
            </w:tcMar>
            <w:vAlign w:val="center"/>
          </w:tcPr>
          <w:p>
            <w:pPr>
              <w:pStyle w:val="TableText"/>
            </w:pPr>
            <w:r>
              <w:t xml:space="preserve">Documented model decision, operating-point results, and retrieval metrics.</w:t>
            </w:r>
          </w:p>
        </w:tc>
        <w:tc>
          <w:tcPr>
            <w:tcW w:type="dxa" w:w="1750"/>
            <w:shd w:fill="F4F6F8" w:color="auto" w:val="clear"/>
            <w:tcMar>
              <w:top w:type="dxa" w:w="100"/>
              <w:left w:type="dxa" w:w="120"/>
              <w:bottom w:type="dxa" w:w="100"/>
              <w:right w:type="dxa" w:w="120"/>
            </w:tcMar>
            <w:vAlign w:val="center"/>
          </w:tcPr>
          <w:p>
            <w:pPr>
              <w:pStyle w:val="TableText"/>
            </w:pPr>
            <w:r>
              <w:t xml:space="preserve">The model result is not comparable or retrieval quality cannot be measured.</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UI refinement and stakeholder review</w:t>
            </w:r>
          </w:p>
        </w:tc>
        <w:tc>
          <w:tcPr>
            <w:tcW w:type="dxa" w:w="3300"/>
            <w:tcMar>
              <w:top w:type="dxa" w:w="100"/>
              <w:left w:type="dxa" w:w="120"/>
              <w:bottom w:type="dxa" w:w="100"/>
              <w:right w:type="dxa" w:w="120"/>
            </w:tcMar>
            <w:vAlign w:val="center"/>
          </w:tcPr>
          <w:p>
            <w:pPr>
              <w:pStyle w:val="TableText"/>
            </w:pPr>
            <w:r>
              <w:t xml:space="preserve">Extend the existing interface, integrate representative model/evidence outputs, and conduct stakeholder review.</w:t>
            </w:r>
          </w:p>
        </w:tc>
        <w:tc>
          <w:tcPr>
            <w:tcW w:type="dxa" w:w="3000"/>
            <w:tcMar>
              <w:top w:type="dxa" w:w="100"/>
              <w:left w:type="dxa" w:w="120"/>
              <w:bottom w:type="dxa" w:w="100"/>
              <w:right w:type="dxa" w:w="120"/>
            </w:tcMar>
            <w:vAlign w:val="center"/>
          </w:tcPr>
          <w:p>
            <w:pPr>
              <w:pStyle w:val="TableText"/>
            </w:pPr>
            <w:r>
              <w:t xml:space="preserve">Integrated review flow and documented stakeholder feedback.</w:t>
            </w:r>
          </w:p>
        </w:tc>
        <w:tc>
          <w:tcPr>
            <w:tcW w:type="dxa" w:w="1750"/>
            <w:tcMar>
              <w:top w:type="dxa" w:w="100"/>
              <w:left w:type="dxa" w:w="120"/>
              <w:bottom w:type="dxa" w:w="100"/>
              <w:right w:type="dxa" w:w="120"/>
            </w:tcMar>
            <w:vAlign w:val="center"/>
          </w:tcPr>
          <w:p>
            <w:pPr>
              <w:pStyle w:val="TableText"/>
            </w:pPr>
            <w:r>
              <w:t xml:space="preserve">The accept/edit/reject flow is not usable or stakeholder feedback is unavailable.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Integration, testing, and evaluation</w:t>
            </w:r>
          </w:p>
        </w:tc>
        <w:tc>
          <w:tcPr>
            <w:tcW w:type="dxa" w:w="3300"/>
            <w:shd w:fill="F4F6F8" w:color="auto" w:val="clear"/>
            <w:tcMar>
              <w:top w:type="dxa" w:w="100"/>
              <w:left w:type="dxa" w:w="120"/>
              <w:bottom w:type="dxa" w:w="100"/>
              <w:right w:type="dxa" w:w="120"/>
            </w:tcMar>
            <w:vAlign w:val="center"/>
          </w:tcPr>
          <w:p>
            <w:pPr>
              <w:pStyle w:val="TableText"/>
            </w:pPr>
            <w:r>
              <w:t xml:space="preserve">Complete end-to-end integration, full unit/integration/regression testing, held-out evaluation, and documentation drafts.</w:t>
            </w:r>
          </w:p>
        </w:tc>
        <w:tc>
          <w:tcPr>
            <w:tcW w:type="dxa" w:w="3000"/>
            <w:shd w:fill="F4F6F8" w:color="auto" w:val="clear"/>
            <w:tcMar>
              <w:top w:type="dxa" w:w="100"/>
              <w:left w:type="dxa" w:w="120"/>
              <w:bottom w:type="dxa" w:w="100"/>
              <w:right w:type="dxa" w:w="120"/>
            </w:tcMar>
            <w:vAlign w:val="center"/>
          </w:tcPr>
          <w:p>
            <w:pPr>
              <w:pStyle w:val="TableText"/>
            </w:pPr>
            <w:r>
              <w:t xml:space="preserve">End-to-end demonstration, passing test suite, locked metrics, and documentation drafts.</w:t>
            </w:r>
          </w:p>
        </w:tc>
        <w:tc>
          <w:tcPr>
            <w:tcW w:type="dxa" w:w="1750"/>
            <w:shd w:fill="F4F6F8" w:color="auto" w:val="clear"/>
            <w:tcMar>
              <w:top w:type="dxa" w:w="100"/>
              <w:left w:type="dxa" w:w="120"/>
              <w:bottom w:type="dxa" w:w="100"/>
              <w:right w:type="dxa" w:w="120"/>
            </w:tcMar>
            <w:vAlign w:val="center"/>
          </w:tcPr>
          <w:p>
            <w:pPr>
              <w:pStyle w:val="TableText"/>
            </w:pPr>
            <w:r>
              <w:t xml:space="preserve">A core path requires manual operation, tests fail, or evaluation is incomplete.</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Protected buffer and stabilization</w:t>
            </w:r>
          </w:p>
        </w:tc>
        <w:tc>
          <w:tcPr>
            <w:tcW w:type="dxa" w:w="3300"/>
            <w:tcMar>
              <w:top w:type="dxa" w:w="100"/>
              <w:left w:type="dxa" w:w="120"/>
              <w:bottom w:type="dxa" w:w="100"/>
              <w:right w:type="dxa" w:w="120"/>
            </w:tcMar>
            <w:vAlign w:val="center"/>
          </w:tcPr>
          <w:p>
            <w:pPr>
              <w:pStyle w:val="TableText"/>
            </w:pPr>
            <w:r>
              <w:t xml:space="preserve">Absorb overruns, correct defects, rerun affected tests or evaluation, and lock the release. No new scope.</w:t>
            </w:r>
          </w:p>
        </w:tc>
        <w:tc>
          <w:tcPr>
            <w:tcW w:type="dxa" w:w="3000"/>
            <w:tcMar>
              <w:top w:type="dxa" w:w="100"/>
              <w:left w:type="dxa" w:w="120"/>
              <w:bottom w:type="dxa" w:w="100"/>
              <w:right w:type="dxa" w:w="120"/>
            </w:tcMar>
            <w:vAlign w:val="center"/>
          </w:tcPr>
          <w:p>
            <w:pPr>
              <w:pStyle w:val="TableText"/>
            </w:pPr>
            <w:r>
              <w:t xml:space="preserve">Stable release candidate with resolved priority defects and rerun evidence.</w:t>
            </w:r>
          </w:p>
        </w:tc>
        <w:tc>
          <w:tcPr>
            <w:tcW w:type="dxa" w:w="1750"/>
            <w:tcMar>
              <w:top w:type="dxa" w:w="100"/>
              <w:left w:type="dxa" w:w="120"/>
              <w:bottom w:type="dxa" w:w="100"/>
              <w:right w:type="dxa" w:w="120"/>
            </w:tcMar>
            <w:vAlign w:val="center"/>
          </w:tcPr>
          <w:p>
            <w:pPr>
              <w:pStyle w:val="TableText"/>
            </w:pPr>
            <w:r>
              <w:t xml:space="preserve">A core blocker remains unresolved by the middle of the buffer week.</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Delivery and presentation</w:t>
            </w:r>
          </w:p>
        </w:tc>
        <w:tc>
          <w:tcPr>
            <w:tcW w:type="dxa" w:w="3300"/>
            <w:shd w:fill="F4F6F8" w:color="auto" w:val="clear"/>
            <w:tcMar>
              <w:top w:type="dxa" w:w="100"/>
              <w:left w:type="dxa" w:w="120"/>
              <w:bottom w:type="dxa" w:w="100"/>
              <w:right w:type="dxa" w:w="120"/>
            </w:tcMar>
            <w:vAlign w:val="center"/>
          </w:tcPr>
          <w:p>
            <w:pPr>
              <w:pStyle w:val="TableText"/>
            </w:pPr>
            <w:r>
              <w:t xml:space="preserve">Package the stable system, complete documentation, rehearse the demonstration, and present.</w:t>
            </w:r>
          </w:p>
        </w:tc>
        <w:tc>
          <w:tcPr>
            <w:tcW w:type="dxa" w:w="3000"/>
            <w:shd w:fill="F4F6F8" w:color="auto" w:val="clear"/>
            <w:tcMar>
              <w:top w:type="dxa" w:w="100"/>
              <w:left w:type="dxa" w:w="120"/>
              <w:bottom w:type="dxa" w:w="100"/>
              <w:right w:type="dxa" w:w="120"/>
            </w:tcMar>
            <w:vAlign w:val="center"/>
          </w:tcPr>
          <w:p>
            <w:pPr>
              <w:pStyle w:val="TableText"/>
            </w:pPr>
            <w:r>
              <w:t xml:space="preserve">Submitted package, model card, user guidance, and presentation-ready demonstration.</w:t>
            </w:r>
          </w:p>
        </w:tc>
        <w:tc>
          <w:tcPr>
            <w:tcW w:type="dxa" w:w="1750"/>
            <w:shd w:fill="F4F6F8" w:color="auto" w:val="clear"/>
            <w:tcMar>
              <w:top w:type="dxa" w:w="100"/>
              <w:left w:type="dxa" w:w="120"/>
              <w:bottom w:type="dxa" w:w="100"/>
              <w:right w:type="dxa" w:w="120"/>
            </w:tcMar>
            <w:vAlign w:val="center"/>
          </w:tcPr>
          <w:p>
            <w:pPr>
              <w:pStyle w:val="TableText"/>
            </w:pPr>
            <w:r>
              <w:t xml:space="preserve">Release changes extend beyond minor packaging or presentation corrections.</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 and passing their tests. Week 9 is reserved for schedule recovery, defect correction, re-evaluation, and stabilization; Week 10 is reserved for delivery and presentation. Neither week is assigned to new stretch work.</w:t>
      </w:r>
    </w:p>
    <w:p>
      <w:pPr>
        <w:pStyle w:val="Heading2"/>
      </w:pPr>
      <w:r>
        <w:t xml:space="preserve">Stretch opportunities</w:t>
      </w:r>
    </w:p>
    <w:p>
      <w:pPr>
        <w:pStyle w:val="BodyText"/>
      </w:pPr>
      <w:r>
        <w:t xml:space="preserve">The estimates below describe hands-on implementation time after the committed system is functioning and passing its tests. They do not include waiting for an outside reviewer, and no stretch opportunity is presented as a guaranteed improvement. Stretch work may begin only when it will not consume the protected Week 9 buffer or Week 10 delivery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PROWL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Proposal</dc:title>
  <dc:creator>Quinton Evans</dc:creator>
  <dc:description>PROWL: Pancreatic Review and Outlining Workflow for Lesions.</dc:description>
  <cp:lastModifiedBy>Un-named</cp:lastModifiedBy>
  <cp:revision>1</cp:revision>
  <dcterms:created xsi:type="dcterms:W3CDTF">2026-08-25T18:24:47.653Z</dcterms:created>
  <dcterms:modified xsi:type="dcterms:W3CDTF">2026-08-25T18:24:47.653Z</dcterms:modified>
</cp:coreProperties>
</file>

<file path=docProps/custom.xml><?xml version="1.0" encoding="utf-8"?>
<Properties xmlns="http://schemas.openxmlformats.org/officeDocument/2006/custom-properties" xmlns:vt="http://schemas.openxmlformats.org/officeDocument/2006/docPropsVTypes"/>
</file>