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echnical-appendix"/>
      <w:r>
        <w:t xml:space="preserve">Technical Appendix</w:t>
      </w:r>
      <w:bookmarkEnd w:id="20"/>
    </w:p>
    <w:p>
      <w:pPr>
        <w:pStyle w:val="FirstParagraph"/>
      </w:pPr>
      <w:r>
        <w:rPr>
          <w:b/>
        </w:rPr>
        <w:t xml:space="preserve">Autonomous Pancreatic Lesion Detection and Radiologist Review System</w:t>
      </w:r>
    </w:p>
    <w:p>
      <w:pPr>
        <w:pStyle w:val="BodyText"/>
      </w:pPr>
      <w:r>
        <w:rPr>
          <w:b/>
        </w:rPr>
        <w:t xml:space="preserve">Quinn Evans</w:t>
      </w:r>
      <w:r>
        <w:t xml:space="preserve"> </w:t>
      </w:r>
      <w:r>
        <w:t xml:space="preserve">· Supplement to the BSAAI Capstone Proposal</w:t>
      </w:r>
    </w:p>
    <w:p>
      <w:pPr>
        <w:pStyle w:val="BodyText"/>
      </w:pPr>
      <w:r>
        <w:t xml:space="preserve">This appendix documents the system design and the data behind the proposal. It exists so a reviewer can assess whether the architecture has been thought through, not only whether the technologies have been named. Every quantity was measured against real files or taken from published documentation; estimates are labeled as such.</w:t>
      </w:r>
    </w:p>
    <w:p>
      <w:pPr>
        <w:pStyle w:val="Heading2"/>
      </w:pPr>
      <w:bookmarkStart w:id="21" w:name="a1.-system-architecture"/>
      <w:r>
        <w:t xml:space="preserve">A1. System architecture</w:t>
      </w:r>
      <w:bookmarkEnd w:id="21"/>
    </w:p>
    <w:p>
      <w:pPr>
        <w:pStyle w:val="FirstParagraph"/>
      </w:pPr>
      <w:r>
        <w:t xml:space="preserve">The project consists of two systems that meet at a shared data layer. The imaging pipeline produces structured findings; those findings become the retrieval context for the knowledge assistant. Neither system calls the other directly.</w:t>
      </w:r>
    </w:p>
    <w:p>
      <w:pPr>
        <w:pStyle w:val="CaptionedFigure"/>
      </w:pPr>
      <w:r>
        <w:drawing>
          <wp:inline>
            <wp:extent cx="5334000" cy="2444750"/>
            <wp:effectExtent b="0" l="0" r="0" t="0"/>
            <wp:docPr descr="System architecture" title="" id="1" name="Picture"/>
            <a:graphic>
              <a:graphicData uri="http://schemas.openxmlformats.org/drawingml/2006/picture">
                <pic:pic>
                  <pic:nvPicPr>
                    <pic:cNvPr descr="img/appendix-architecture.png" id="0" name="Picture"/>
                    <pic:cNvPicPr>
                      <a:picLocks noChangeArrowheads="1" noChangeAspect="1"/>
                    </pic:cNvPicPr>
                  </pic:nvPicPr>
                  <pic:blipFill>
                    <a:blip r:embed="rId22"/>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System architecture</w:t>
      </w:r>
    </w:p>
    <w:p>
      <w:pPr>
        <w:pStyle w:val="Heading2"/>
      </w:pPr>
      <w:bookmarkStart w:id="23" w:name="a2.-end-to-end-data-flow"/>
      <w:r>
        <w:t xml:space="preserve">A2. End-to-end data flow</w:t>
      </w:r>
      <w:bookmarkEnd w:id="23"/>
    </w:p>
    <w:p>
      <w:pPr>
        <w:pStyle w:val="FirstParagraph"/>
      </w:pPr>
      <w:r>
        <w:t xml:space="preserve">The complete path a scan takes. Steps 2 through 5 are the autonomous cascade this capstone builds; today step 2 is replaced by a human-provided region of interest.</w:t>
      </w:r>
    </w:p>
    <w:p>
      <w:pPr>
        <w:pStyle w:val="CaptionedFigure"/>
      </w:pPr>
      <w:r>
        <w:drawing>
          <wp:inline>
            <wp:extent cx="5334000" cy="1852083"/>
            <wp:effectExtent b="0" l="0" r="0" t="0"/>
            <wp:docPr descr="End-to-end data flow" title="" id="1" name="Picture"/>
            <a:graphic>
              <a:graphicData uri="http://schemas.openxmlformats.org/drawingml/2006/picture">
                <pic:pic>
                  <pic:nvPicPr>
                    <pic:cNvPr descr="img/appendix-dataflow.png" id="0" name="Picture"/>
                    <pic:cNvPicPr>
                      <a:picLocks noChangeArrowheads="1" noChangeAspect="1"/>
                    </pic:cNvPicPr>
                  </pic:nvPicPr>
                  <pic:blipFill>
                    <a:blip r:embed="rId24"/>
                    <a:stretch>
                      <a:fillRect/>
                    </a:stretch>
                  </pic:blipFill>
                  <pic:spPr bwMode="auto">
                    <a:xfrm>
                      <a:off x="0" y="0"/>
                      <a:ext cx="5334000" cy="1852083"/>
                    </a:xfrm>
                    <a:prstGeom prst="rect">
                      <a:avLst/>
                    </a:prstGeom>
                    <a:noFill/>
                    <a:ln w="9525">
                      <a:noFill/>
                      <a:headEnd/>
                      <a:tailEnd/>
                    </a:ln>
                  </pic:spPr>
                </pic:pic>
              </a:graphicData>
            </a:graphic>
          </wp:inline>
        </w:drawing>
      </w:r>
    </w:p>
    <w:p>
      <w:pPr>
        <w:pStyle w:val="ImageCaption"/>
      </w:pPr>
      <w:r>
        <w:t xml:space="preserve">End-to-end data flow</w:t>
      </w:r>
    </w:p>
    <w:p>
      <w:pPr>
        <w:pStyle w:val="BodyText"/>
      </w:pPr>
      <w:r>
        <w:rPr>
          <w:b/>
        </w:rPr>
        <w:t xml:space="preserve">Measured inference cost.</w:t>
      </w:r>
      <w:r>
        <w:t xml:space="preserve"> </w:t>
      </w:r>
      <w:r>
        <w:t xml:space="preserve">A full CT resampled to 1.5 mm isotropic is a median of 253 × 190 × 142 voxels — 6.9 million voxels, 26.5 MiB as float32, computed across all 9,901 scans. Sliding-window localization at 128³ with 50% overlap requires a median of 12 windows per scan. Against a current serving time of roughly 0.6 seconds for the provided-region path, autonomous whole-scan inference should land in the range of several seconds per study.</w:t>
      </w:r>
    </w:p>
    <w:p>
      <w:pPr>
        <w:pStyle w:val="Heading2"/>
      </w:pPr>
      <w:bookmarkStart w:id="25" w:name="a3.-relational-schema"/>
      <w:r>
        <w:t xml:space="preserve">A3. Relational schema</w:t>
      </w:r>
      <w:bookmarkEnd w:id="25"/>
    </w:p>
    <w:p>
      <w:pPr>
        <w:pStyle w:val="FirstParagraph"/>
      </w:pPr>
      <w:r>
        <w:t xml:space="preserve">Abbreviated to the tables that carry the design decisions.</w:t>
      </w:r>
    </w:p>
    <w:p>
      <w:pPr>
        <w:pStyle w:val="SourceCode"/>
      </w:pPr>
      <w:r>
        <w:rPr>
          <w:rStyle w:val="CommentTok"/>
        </w:rPr>
        <w:t xml:space="preserve">-- Storage roots are configuration, never absolute paths in data.</w:t>
      </w:r>
      <w:r>
        <w:br/>
      </w:r>
      <w:r>
        <w:rPr>
          <w:rStyle w:val="KeywordTok"/>
        </w:rPr>
        <w:t xml:space="preserve">CREATE</w:t>
      </w:r>
      <w:r>
        <w:rPr>
          <w:rStyle w:val="NormalTok"/>
        </w:rPr>
        <w:t xml:space="preserve"> </w:t>
      </w:r>
      <w:r>
        <w:rPr>
          <w:rStyle w:val="KeywordTok"/>
        </w:rPr>
        <w:t xml:space="preserve">TABLE</w:t>
      </w:r>
      <w:r>
        <w:rPr>
          <w:rStyle w:val="NormalTok"/>
        </w:rPr>
        <w:t xml:space="preserve"> storage_root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'cold_archive', 'warm_cache'</w:t>
      </w:r>
      <w:r>
        <w:br/>
      </w:r>
      <w:r>
        <w:rPr>
          <w:rStyle w:val="NormalTok"/>
        </w:rPr>
        <w:t xml:space="preserve">    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'cold'</w:t>
      </w:r>
      <w:r>
        <w:rPr>
          <w:rStyle w:val="NormalTok"/>
        </w:rPr>
        <w:t xml:space="preserve">,</w:t>
      </w:r>
      <w:r>
        <w:rPr>
          <w:rStyle w:val="StringTok"/>
        </w:rPr>
        <w:t xml:space="preserve">'warm'</w:t>
      </w:r>
      <w:r>
        <w:rPr>
          <w:rStyle w:val="NormalTok"/>
        </w:rPr>
        <w:t xml:space="preserve">,</w:t>
      </w:r>
      <w:r>
        <w:rPr>
          <w:rStyle w:val="StringTok"/>
        </w:rPr>
        <w:t xml:space="preserve">'cloud'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scan</w:t>
      </w:r>
      <w:r>
        <w:rPr>
          <w:rStyle w:val="NormalTok"/>
        </w:rPr>
        <w:t xml:space="preserve">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case_id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source_dataset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'pants' | 'panorama'</w:t>
      </w:r>
      <w:r>
        <w:br/>
      </w:r>
      <w:r>
        <w:rPr>
          <w:rStyle w:val="NormalTok"/>
        </w:rPr>
        <w:t xml:space="preserve">    patient_key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splits group on THIS, not on scan</w:t>
      </w:r>
      <w:r>
        <w:br/>
      </w:r>
      <w:r>
        <w:rPr>
          <w:rStyle w:val="NormalTok"/>
        </w:rPr>
        <w:t xml:space="preserve">    shape           </w:t>
      </w:r>
      <w:r>
        <w:rPr>
          <w:rStyle w:val="DataTypeTok"/>
        </w:rPr>
        <w:t xml:space="preserve">INT</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spacing         </w:t>
      </w:r>
      <w:r>
        <w:rPr>
          <w:rStyle w:val="DataTypeTok"/>
        </w:rPr>
        <w:t xml:space="preserve">REAL</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contrast_phase  TEXT,</w:t>
      </w:r>
      <w:r>
        <w:br/>
      </w:r>
      <w:r>
        <w:rPr>
          <w:rStyle w:val="NormalTok"/>
        </w:rPr>
        <w:t xml:space="preserve">    reference_std   TEXT,                 </w:t>
      </w:r>
      <w:r>
        <w:rPr>
          <w:rStyle w:val="CommentTok"/>
        </w:rPr>
        <w:t xml:space="preserve">-- histopathology | cytology | radiology | ...</w:t>
      </w:r>
      <w:r>
        <w:br/>
      </w:r>
      <w:r>
        <w:rPr>
          <w:rStyle w:val="NormalTok"/>
        </w:rPr>
        <w:t xml:space="preserve">    site            TEXT,</w:t>
      </w:r>
      <w:r>
        <w:br/>
      </w:r>
      <w:r>
        <w:rPr>
          <w:rStyle w:val="NormalTok"/>
        </w:rPr>
        <w:t xml:space="preserve">    </w:t>
      </w:r>
      <w:r>
        <w:rPr>
          <w:rStyle w:val="KeywordTok"/>
        </w:rPr>
        <w:t xml:space="preserve">UNIQUE</w:t>
      </w:r>
      <w:r>
        <w:rPr>
          <w:rStyle w:val="NormalTok"/>
        </w:rPr>
        <w:t xml:space="preserve"> (source_dataset, case_id)</w:t>
      </w:r>
      <w:r>
        <w:br/>
      </w:r>
      <w:r>
        <w:rPr>
          <w:rStyle w:val="NormalTok"/>
        </w:rPr>
        <w:t xml:space="preserve">);</w:t>
      </w:r>
      <w:r>
        <w:br/>
      </w:r>
      <w:r>
        <w:br/>
      </w:r>
      <w:r>
        <w:rPr>
          <w:rStyle w:val="CommentTok"/>
        </w:rPr>
        <w:t xml:space="preserve">-- Provenance is data, not an assumption. PANORAMA organ masks are machine</w:t>
      </w:r>
      <w:r>
        <w:br/>
      </w:r>
      <w:r>
        <w:rPr>
          <w:rStyle w:val="CommentTok"/>
        </w:rPr>
        <w:t xml:space="preserve">-- generated; PanTS masks are expert validated. The model must know which.</w:t>
      </w:r>
      <w:r>
        <w:br/>
      </w:r>
      <w:r>
        <w:rPr>
          <w:rStyle w:val="KeywordTok"/>
        </w:rPr>
        <w:t xml:space="preserve">CREATE</w:t>
      </w:r>
      <w:r>
        <w:rPr>
          <w:rStyle w:val="NormalTok"/>
        </w:rPr>
        <w:t xml:space="preserve"> </w:t>
      </w:r>
      <w:r>
        <w:rPr>
          <w:rStyle w:val="KeywordTok"/>
        </w:rPr>
        <w:t xml:space="preserve">TABLE</w:t>
      </w:r>
      <w:r>
        <w:rPr>
          <w:rStyle w:val="NormalTok"/>
        </w:rPr>
        <w:t xml:space="preserve"> annotation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structure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'pancreas' | 'lesion' | ...</w:t>
      </w:r>
      <w:r>
        <w:br/>
      </w:r>
      <w:r>
        <w:rPr>
          <w:rStyle w:val="NormalTok"/>
        </w:rPr>
        <w:t xml:space="preserve">    provenance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(provenance </w:t>
      </w:r>
      <w:r>
        <w:rPr>
          <w:rStyle w:val="KeywordTok"/>
        </w:rPr>
        <w:t xml:space="preserve">IN</w:t>
      </w:r>
      <w:r>
        <w:rPr>
          <w:rStyle w:val="NormalTok"/>
        </w:rPr>
        <w:t xml:space="preserve"> (</w:t>
      </w:r>
      <w:r>
        <w:rPr>
          <w:rStyle w:val="StringTok"/>
        </w:rPr>
        <w:t xml:space="preserve">'expert'</w:t>
      </w:r>
      <w:r>
        <w:rPr>
          <w:rStyle w:val="NormalTok"/>
        </w:rPr>
        <w:t xml:space="preserve">,</w:t>
      </w:r>
      <w:r>
        <w:rPr>
          <w:rStyle w:val="StringTok"/>
        </w:rPr>
        <w:t xml:space="preserve">'automated'</w:t>
      </w:r>
      <w:r>
        <w:rPr>
          <w:rStyle w:val="NormalTok"/>
        </w:rPr>
        <w:t xml:space="preserve">)),</w:t>
      </w:r>
      <w:r>
        <w:br/>
      </w:r>
      <w:r>
        <w:rPr>
          <w:rStyle w:val="NormalTok"/>
        </w:rPr>
        <w:t xml:space="preserve">    volume_mm3  </w:t>
      </w:r>
      <w:r>
        <w:rPr>
          <w:rStyle w:val="DataTypeTok"/>
        </w:rPr>
        <w:t xml:space="preserve">DOUBLE</w:t>
      </w:r>
      <w:r>
        <w:rPr>
          <w:rStyle w:val="NormalTok"/>
        </w:rPr>
        <w:t xml:space="preserve"> </w:t>
      </w:r>
      <w:r>
        <w:rPr>
          <w:rStyle w:val="DataTypeTok"/>
        </w:rPr>
        <w:t xml:space="preserve">PRECISION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scan_file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storage_root_id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storage_root(</w:t>
      </w:r>
      <w:r>
        <w:rPr>
          <w:rStyle w:val="KeywordTok"/>
        </w:rPr>
        <w:t xml:space="preserve">id</w:t>
      </w:r>
      <w:r>
        <w:rPr>
          <w:rStyle w:val="NormalTok"/>
        </w:rPr>
        <w:t xml:space="preserve">),</w:t>
      </w:r>
      <w:r>
        <w:br/>
      </w:r>
      <w:r>
        <w:rPr>
          <w:rStyle w:val="NormalTok"/>
        </w:rPr>
        <w:t xml:space="preserve">    relative_path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bytes           BIGINT,</w:t>
      </w:r>
      <w:r>
        <w:br/>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perceptual_hash TEXT,                 </w:t>
      </w:r>
      <w:r>
        <w:rPr>
          <w:rStyle w:val="CommentTok"/>
        </w:rPr>
        <w:t xml:space="preserve">-- 32^3 downsample, cross-dataset dedup</w:t>
      </w:r>
      <w:r>
        <w:br/>
      </w:r>
      <w:r>
        <w:rPr>
          <w:rStyle w:val="NormalTok"/>
        </w:rPr>
        <w:t xml:space="preserve">    verified_at     TIMESTAMPTZ</w:t>
      </w:r>
      <w:r>
        <w:br/>
      </w:r>
      <w:r>
        <w:rPr>
          <w:rStyle w:val="NormalTok"/>
        </w:rPr>
        <w:t xml:space="preserve">);</w:t>
      </w:r>
      <w:r>
        <w:br/>
      </w:r>
      <w:r>
        <w:br/>
      </w:r>
      <w:r>
        <w:rPr>
          <w:rStyle w:val="CommentTok"/>
        </w:rPr>
        <w:t xml:space="preserve">-- A cohort is a materialized query, not a text file. This is the control that</w:t>
      </w:r>
      <w:r>
        <w:br/>
      </w:r>
      <w:r>
        <w:rPr>
          <w:rStyle w:val="CommentTok"/>
        </w:rPr>
        <w:t xml:space="preserve">-- makes the validation leak found in the preceding project inexpressible.</w:t>
      </w:r>
      <w:r>
        <w:br/>
      </w:r>
      <w:r>
        <w:rPr>
          <w:rStyle w:val="KeywordTok"/>
        </w:rPr>
        <w:t xml:space="preserve">CREATE</w:t>
      </w:r>
      <w:r>
        <w:rPr>
          <w:rStyle w:val="NormalTok"/>
        </w:rPr>
        <w:t xml:space="preserve"> </w:t>
      </w:r>
      <w:r>
        <w:rPr>
          <w:rStyle w:val="KeywordTok"/>
        </w:rPr>
        <w:t xml:space="preserve">TABLE</w:t>
      </w:r>
      <w:r>
        <w:rPr>
          <w:rStyle w:val="NormalTok"/>
        </w:rPr>
        <w:t xml:space="preserve"> cohort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definition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SQL that produced it</w:t>
      </w:r>
      <w:r>
        <w:br/>
      </w:r>
      <w:r>
        <w:rPr>
          <w:rStyle w:val="NormalTok"/>
        </w:rPr>
        <w:t xml:space="preserve">    parent_fold TEXT,                     </w:t>
      </w:r>
      <w:r>
        <w:rPr>
          <w:rStyle w:val="CommentTok"/>
        </w:rPr>
        <w:t xml:space="preserve">-- 'train' | 'val' | 'test'</w:t>
      </w:r>
      <w:r>
        <w:br/>
      </w:r>
      <w:r>
        <w:rPr>
          <w:rStyle w:val="NormalTok"/>
        </w:rPr>
        <w:t xml:space="preserve">    frozen_at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cohort_member (</w:t>
      </w:r>
      <w:r>
        <w:br/>
      </w:r>
      <w:r>
        <w:rPr>
          <w:rStyle w:val="NormalTok"/>
        </w:rPr>
        <w:t xml:space="preserve">    cohort_id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cohort(</w:t>
      </w:r>
      <w:r>
        <w:rPr>
          <w:rStyle w:val="KeywordTok"/>
        </w:rPr>
        <w:t xml:space="preserve">id</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(cohort_id, scan_id)</w:t>
      </w:r>
      <w:r>
        <w:br/>
      </w:r>
      <w:r>
        <w:rPr>
          <w:rStyle w:val="NormalTok"/>
        </w:rPr>
        <w:t xml:space="preserve">);</w:t>
      </w:r>
      <w:r>
        <w:br/>
      </w:r>
      <w:r>
        <w:br/>
      </w:r>
      <w:r>
        <w:rPr>
          <w:rStyle w:val="CommentTok"/>
        </w:rPr>
        <w:t xml:space="preserve">-- Enforced at write time: a patient may never appear in a training cohort and</w:t>
      </w:r>
      <w:r>
        <w:br/>
      </w:r>
      <w:r>
        <w:rPr>
          <w:rStyle w:val="CommentTok"/>
        </w:rPr>
        <w:t xml:space="preserve">-- an evaluation cohort simultaneously.</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assert_cohort_disjoint()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cohort_member cm</w:t>
      </w:r>
      <w:r>
        <w:br/>
      </w:r>
      <w:r>
        <w:rPr>
          <w:rStyle w:val="NormalTok"/>
        </w:rPr>
        <w:t xml:space="preserve">      </w:t>
      </w:r>
      <w:r>
        <w:rPr>
          <w:rStyle w:val="KeywordTok"/>
        </w:rPr>
        <w:t xml:space="preserve">JOIN</w:t>
      </w:r>
      <w:r>
        <w:rPr>
          <w:rStyle w:val="NormalTok"/>
        </w:rPr>
        <w:t xml:space="preserve"> </w:t>
      </w:r>
      <w:r>
        <w:rPr>
          <w:rStyle w:val="KeywordTok"/>
        </w:rPr>
        <w:t xml:space="preserve">scan</w:t>
      </w:r>
      <w:r>
        <w:rPr>
          <w:rStyle w:val="NormalTok"/>
        </w:rPr>
        <w:t xml:space="preserve">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cm.scan_id</w:t>
      </w:r>
      <w:r>
        <w:br/>
      </w:r>
      <w:r>
        <w:rPr>
          <w:rStyle w:val="NormalTok"/>
        </w:rPr>
        <w:t xml:space="preserve">      </w:t>
      </w:r>
      <w:r>
        <w:rPr>
          <w:rStyle w:val="KeywordTok"/>
        </w:rPr>
        <w:t xml:space="preserve">JOIN</w:t>
      </w:r>
      <w:r>
        <w:rPr>
          <w:rStyle w:val="NormalTok"/>
        </w:rPr>
        <w:t xml:space="preserve"> </w:t>
      </w:r>
      <w:r>
        <w:rPr>
          <w:rStyle w:val="KeywordTok"/>
        </w:rPr>
        <w:t xml:space="preserve">scan</w:t>
      </w:r>
      <w:r>
        <w:rPr>
          <w:rStyle w:val="NormalTok"/>
        </w:rPr>
        <w:t xml:space="preserve">   ns </w:t>
      </w:r>
      <w:r>
        <w:rPr>
          <w:rStyle w:val="KeywordTok"/>
        </w:rPr>
        <w:t xml:space="preserve">ON</w:t>
      </w:r>
      <w:r>
        <w:rPr>
          <w:rStyle w:val="NormalTok"/>
        </w:rPr>
        <w:t xml:space="preserve"> ns.</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.scan_id</w:t>
      </w:r>
      <w:r>
        <w:br/>
      </w:r>
      <w:r>
        <w:rPr>
          <w:rStyle w:val="NormalTok"/>
        </w:rPr>
        <w:t xml:space="preserve">      </w:t>
      </w:r>
      <w:r>
        <w:rPr>
          <w:rStyle w:val="KeywordTok"/>
        </w:rPr>
        <w:t xml:space="preserve">JOIN</w:t>
      </w:r>
      <w:r>
        <w:rPr>
          <w:rStyle w:val="NormalTok"/>
        </w:rPr>
        <w:t xml:space="preserve"> cohort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cm.cohort_id</w:t>
      </w:r>
      <w:r>
        <w:br/>
      </w:r>
      <w:r>
        <w:rPr>
          <w:rStyle w:val="NormalTok"/>
        </w:rPr>
        <w:t xml:space="preserve">      </w:t>
      </w:r>
      <w:r>
        <w:rPr>
          <w:rStyle w:val="KeywordTok"/>
        </w:rPr>
        <w:t xml:space="preserve">JOIN</w:t>
      </w:r>
      <w:r>
        <w:rPr>
          <w:rStyle w:val="NormalTok"/>
        </w:rPr>
        <w:t xml:space="preserve"> cohort nc </w:t>
      </w:r>
      <w:r>
        <w:rPr>
          <w:rStyle w:val="KeywordTok"/>
        </w:rPr>
        <w:t xml:space="preserve">ON</w:t>
      </w:r>
      <w:r>
        <w:rPr>
          <w:rStyle w:val="NormalTok"/>
        </w:rPr>
        <w:t xml:space="preserve"> nc.</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.cohort_id</w:t>
      </w:r>
      <w:r>
        <w:br/>
      </w:r>
      <w:r>
        <w:rPr>
          <w:rStyle w:val="NormalTok"/>
        </w:rPr>
        <w:t xml:space="preserve">      </w:t>
      </w:r>
      <w:r>
        <w:rPr>
          <w:rStyle w:val="KeywordTok"/>
        </w:rPr>
        <w:t xml:space="preserve">WHERE</w:t>
      </w:r>
      <w:r>
        <w:rPr>
          <w:rStyle w:val="NormalTok"/>
        </w:rPr>
        <w:t xml:space="preserve"> s.patient_key </w:t>
      </w:r>
      <w:r>
        <w:rPr>
          <w:rStyle w:val="OperatorTok"/>
        </w:rPr>
        <w:t xml:space="preserve">=</w:t>
      </w:r>
      <w:r>
        <w:rPr>
          <w:rStyle w:val="NormalTok"/>
        </w:rPr>
        <w:t xml:space="preserve"> ns.patient_key</w:t>
      </w:r>
      <w:r>
        <w:br/>
      </w:r>
      <w:r>
        <w:rPr>
          <w:rStyle w:val="NormalTok"/>
        </w:rPr>
        <w:t xml:space="preserve">        </w:t>
      </w:r>
      <w:r>
        <w:rPr>
          <w:rStyle w:val="KeywordTok"/>
        </w:rPr>
        <w:t xml:space="preserve">AND</w:t>
      </w:r>
      <w:r>
        <w:rPr>
          <w:rStyle w:val="NormalTok"/>
        </w:rPr>
        <w:t xml:space="preserve"> c.parent_fold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nc.parent_fold</w:t>
      </w:r>
      <w:r>
        <w:br/>
      </w:r>
      <w:r>
        <w:rPr>
          <w:rStyle w:val="NormalTok"/>
        </w:rPr>
        <w:t xml:space="preserve">  )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'patient for scan % would cross folds'</w:t>
      </w:r>
      <w:r>
        <w:rPr>
          <w:rStyle w:val="NormalTok"/>
        </w:rPr>
        <w:t xml:space="preserve">, </w:t>
      </w:r>
      <w:r>
        <w:rPr>
          <w:rStyle w:val="KeywordTok"/>
        </w:rPr>
        <w:t xml:space="preserve">NEW</w:t>
      </w:r>
      <w:r>
        <w:rPr>
          <w:rStyle w:val="NormalTok"/>
        </w:rPr>
        <w:t xml:space="preserve">.scan_id;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 LANGUAGE plpgsql;</w:t>
      </w:r>
      <w:r>
        <w:br/>
      </w:r>
      <w:r>
        <w:br/>
      </w:r>
      <w:r>
        <w:rPr>
          <w:rStyle w:val="KeywordTok"/>
        </w:rPr>
        <w:t xml:space="preserve">CREATE</w:t>
      </w:r>
      <w:r>
        <w:rPr>
          <w:rStyle w:val="NormalTok"/>
        </w:rPr>
        <w:t xml:space="preserve"> </w:t>
      </w:r>
      <w:r>
        <w:rPr>
          <w:rStyle w:val="KeywordTok"/>
        </w:rPr>
        <w:t xml:space="preserve">TABLE</w:t>
      </w:r>
      <w:r>
        <w:rPr>
          <w:rStyle w:val="NormalTok"/>
        </w:rPr>
        <w:t xml:space="preserve"> prediction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scan_id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scan</w:t>
      </w:r>
      <w:r>
        <w:rPr>
          <w:rStyle w:val="NormalTok"/>
        </w:rPr>
        <w:t xml:space="preserve">(</w:t>
      </w:r>
      <w:r>
        <w:rPr>
          <w:rStyle w:val="KeywordTok"/>
        </w:rPr>
        <w:t xml:space="preserve">id</w:t>
      </w:r>
      <w:r>
        <w:rPr>
          <w:rStyle w:val="NormalTok"/>
        </w:rPr>
        <w:t xml:space="preserve">),</w:t>
      </w:r>
      <w:r>
        <w:br/>
      </w:r>
      <w:r>
        <w:rPr>
          <w:rStyle w:val="NormalTok"/>
        </w:rPr>
        <w:t xml:space="preserve">    model_version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lesion_volume_mm3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max_diameter_mm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subregion         TEXT,</w:t>
      </w:r>
      <w:r>
        <w:br/>
      </w:r>
      <w:r>
        <w:rPr>
          <w:rStyle w:val="NormalTok"/>
        </w:rPr>
        <w:t xml:space="preserve">    suspicion_score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CommentTok"/>
        </w:rPr>
        <w:t xml:space="preserve">-- drives worklist ordering</w:t>
      </w:r>
      <w:r>
        <w:br/>
      </w:r>
      <w:r>
        <w:rPr>
          <w:rStyle w:val="NormalTok"/>
        </w:rPr>
        <w:t xml:space="preserve">    mask_file_id      BIGINT </w:t>
      </w:r>
      <w:r>
        <w:rPr>
          <w:rStyle w:val="KeywordTok"/>
        </w:rPr>
        <w:t xml:space="preserve">REFERENCES</w:t>
      </w:r>
      <w:r>
        <w:rPr>
          <w:rStyle w:val="NormalTok"/>
        </w:rPr>
        <w:t xml:space="preserve"> scan_file(</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(scan_id, model_version)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review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prediction_id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prediction(</w:t>
      </w:r>
      <w:r>
        <w:rPr>
          <w:rStyle w:val="KeywordTok"/>
        </w:rPr>
        <w:t xml:space="preserve">id</w:t>
      </w:r>
      <w:r>
        <w:rPr>
          <w:rStyle w:val="NormalTok"/>
        </w:rPr>
        <w:t xml:space="preserve">),</w:t>
      </w:r>
      <w:r>
        <w:br/>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'accept'</w:t>
      </w:r>
      <w:r>
        <w:rPr>
          <w:rStyle w:val="NormalTok"/>
        </w:rPr>
        <w:t xml:space="preserve">,</w:t>
      </w:r>
      <w:r>
        <w:rPr>
          <w:rStyle w:val="StringTok"/>
        </w:rPr>
        <w:t xml:space="preserve">'edit'</w:t>
      </w:r>
      <w:r>
        <w:rPr>
          <w:rStyle w:val="NormalTok"/>
        </w:rPr>
        <w:t xml:space="preserve">,</w:t>
      </w:r>
      <w:r>
        <w:rPr>
          <w:rStyle w:val="StringTok"/>
        </w:rPr>
        <w:t xml:space="preserve">'reject'</w:t>
      </w:r>
      <w:r>
        <w:rPr>
          <w:rStyle w:val="NormalTok"/>
        </w:rPr>
        <w:t xml:space="preserve">)),</w:t>
      </w:r>
      <w:r>
        <w:br/>
      </w:r>
      <w:r>
        <w:rPr>
          <w:rStyle w:val="NormalTok"/>
        </w:rPr>
        <w:t xml:space="preserve">    reviewer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decided_at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note          TEXT</w:t>
      </w:r>
      <w:r>
        <w:br/>
      </w:r>
      <w:r>
        <w:rPr>
          <w:rStyle w:val="NormalTok"/>
        </w:rPr>
        <w:t xml:space="preserve">);</w:t>
      </w:r>
      <w:r>
        <w:br/>
      </w:r>
      <w:r>
        <w:br/>
      </w:r>
      <w:r>
        <w:rPr>
          <w:rStyle w:val="CommentTok"/>
        </w:rPr>
        <w:t xml:space="preserve">-- Literature chunks share the database with imaging metadata, so a single</w:t>
      </w:r>
      <w:r>
        <w:br/>
      </w:r>
      <w:r>
        <w:rPr>
          <w:rStyle w:val="CommentTok"/>
        </w:rPr>
        <w:t xml:space="preserve">-- query can combine semantic similarity with structured filters.</w:t>
      </w:r>
      <w:r>
        <w:br/>
      </w:r>
      <w:r>
        <w:rPr>
          <w:rStyle w:val="KeywordTok"/>
        </w:rPr>
        <w:t xml:space="preserve">CREATE</w:t>
      </w:r>
      <w:r>
        <w:rPr>
          <w:rStyle w:val="NormalTok"/>
        </w:rPr>
        <w:t xml:space="preserve"> </w:t>
      </w:r>
      <w:r>
        <w:rPr>
          <w:rStyle w:val="KeywordTok"/>
        </w:rPr>
        <w:t xml:space="preserve">TABLE</w:t>
      </w:r>
      <w:r>
        <w:rPr>
          <w:rStyle w:val="NormalTok"/>
        </w:rPr>
        <w:t xml:space="preserve"> doc_chunk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pmid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w:t>
      </w:r>
      <w:r>
        <w:br/>
      </w:r>
      <w:r>
        <w:rPr>
          <w:rStyle w:val="NormalTok"/>
        </w:rPr>
        <w:t xml:space="preserve">    journal    TEXT,</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mesh       TEXT[],</w:t>
      </w:r>
      <w:r>
        <w:br/>
      </w:r>
      <w:r>
        <w:rPr>
          <w:rStyle w:val="NormalTok"/>
        </w:rPr>
        <w:t xml:space="preserve">    chunk_text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768</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doc_chunk </w:t>
      </w:r>
      <w:r>
        <w:rPr>
          <w:rStyle w:val="KeywordTok"/>
        </w:rPr>
        <w:t xml:space="preserve">USING</w:t>
      </w:r>
      <w:r>
        <w:rPr>
          <w:rStyle w:val="NormalTok"/>
        </w:rPr>
        <w:t xml:space="preserve"> hnsw (embedding vector_cosine_ops);</w:t>
      </w:r>
    </w:p>
    <w:p>
      <w:pPr>
        <w:pStyle w:val="FirstParagraph"/>
      </w:pPr>
      <w:r>
        <w:rPr>
          <w:b/>
        </w:rPr>
        <w:t xml:space="preserve">Why the trigger matters.</w:t>
      </w:r>
      <w:r>
        <w:t xml:space="preserve"> </w:t>
      </w:r>
      <w:r>
        <w:t xml:space="preserve">In the preceding project, cohort membership lived in text files and a script sampled from the wrong column. The result was 266 evaluation cases inside the training set and a headline lesion Dice inflated from 0.415 to 0.528. That number had to be withdrawn. Expressing membership as a constrained relation, keyed on patient rather than scan, makes the same mistake impossible to commit rather than merely possible to detect.</w:t>
      </w:r>
    </w:p>
    <w:p>
      <w:pPr>
        <w:pStyle w:val="Heading2"/>
      </w:pPr>
      <w:bookmarkStart w:id="26" w:name="X966771bdfb3d0fe6559e8b037de2a62ddcc1b16"/>
      <w:r>
        <w:t xml:space="preserve">A4. PANORAMA — verification against real files</w:t>
      </w:r>
      <w:bookmarkEnd w:id="26"/>
    </w:p>
    <w:p>
      <w:pPr>
        <w:pStyle w:val="FirstParagraph"/>
      </w:pPr>
      <w:r>
        <w:t xml:space="preserve">Everything in this section was read from</w:t>
      </w:r>
      <w:r>
        <w:t xml:space="preserve"> </w:t>
      </w:r>
      <w:r>
        <w:rPr>
          <w:rStyle w:val="VerbatimChar"/>
        </w:rPr>
        <w:t xml:space="preserve">clinical_information.xlsx</w:t>
      </w:r>
      <w:r>
        <w:t xml:space="preserve"> </w:t>
      </w:r>
      <w:r>
        <w:t xml:space="preserve">and</w:t>
      </w:r>
      <w:r>
        <w:t xml:space="preserve"> </w:t>
      </w:r>
      <w:r>
        <w:rPr>
          <w:rStyle w:val="VerbatimChar"/>
        </w:rPr>
        <w:t xml:space="preserve">panorama_labels-main.zip</w:t>
      </w:r>
      <w:r>
        <w:t xml:space="preserve">. Nothing rests on documentation.</w:t>
      </w:r>
    </w:p>
    <w:p>
      <w:pPr>
        <w:pStyle w:val="Heading3"/>
      </w:pPr>
      <w:bookmarkStart w:id="27" w:name="a4.1-the-spreadsheet"/>
      <w:r>
        <w:t xml:space="preserve">A4.1 The spreadsheet</w:t>
      </w:r>
      <w:bookmarkEnd w:id="27"/>
    </w:p>
    <w:p>
      <w:pPr>
        <w:pStyle w:val="FirstParagraph"/>
      </w:pPr>
      <w:r>
        <w:t xml:space="preserve">2,238 rows × 8 columns:</w:t>
      </w:r>
      <w:r>
        <w:t xml:space="preserve"> </w:t>
      </w:r>
      <w:r>
        <w:rPr>
          <w:rStyle w:val="VerbatimChar"/>
        </w:rPr>
        <w:t xml:space="preserve">PANORAMA_patient_id</w:t>
      </w:r>
      <w:r>
        <w:t xml:space="preserve">,</w:t>
      </w:r>
      <w:r>
        <w:t xml:space="preserve"> </w:t>
      </w:r>
      <w:r>
        <w:rPr>
          <w:rStyle w:val="VerbatimChar"/>
        </w:rPr>
        <w:t xml:space="preserve">PANORAMA_study_id</w:t>
      </w:r>
      <w:r>
        <w:t xml:space="preserve">,</w:t>
      </w:r>
      <w:r>
        <w:t xml:space="preserve"> </w:t>
      </w:r>
      <w:r>
        <w:rPr>
          <w:rStyle w:val="VerbatimChar"/>
        </w:rPr>
        <w:t xml:space="preserve">anonymized_study_date</w:t>
      </w:r>
      <w:r>
        <w:t xml:space="preserve">,</w:t>
      </w:r>
      <w:r>
        <w:t xml:space="preserve"> </w:t>
      </w:r>
      <w:r>
        <w:rPr>
          <w:rStyle w:val="VerbatimChar"/>
        </w:rPr>
        <w:t xml:space="preserve">patient_age</w:t>
      </w:r>
      <w:r>
        <w:t xml:space="preserve">,</w:t>
      </w:r>
      <w:r>
        <w:t xml:space="preserve"> </w:t>
      </w:r>
      <w:r>
        <w:rPr>
          <w:rStyle w:val="VerbatimChar"/>
        </w:rPr>
        <w:t xml:space="preserve">patient_sex</w:t>
      </w:r>
      <w:r>
        <w:t xml:space="preserve">,</w:t>
      </w:r>
      <w:r>
        <w:t xml:space="preserve"> </w:t>
      </w:r>
      <w:r>
        <w:rPr>
          <w:rStyle w:val="VerbatimChar"/>
        </w:rPr>
        <w:t xml:space="preserve">scanner</w:t>
      </w:r>
      <w:r>
        <w:t xml:space="preserve">,</w:t>
      </w:r>
      <w:r>
        <w:t xml:space="preserve"> </w:t>
      </w:r>
      <w:r>
        <w:rPr>
          <w:rStyle w:val="VerbatimChar"/>
        </w:rPr>
        <w:t xml:space="preserve">label</w:t>
      </w:r>
      <w:r>
        <w:t xml:space="preserve">,</w:t>
      </w:r>
      <w:r>
        <w:t xml:space="preserve"> </w:t>
      </w:r>
      <w:r>
        <w:rPr>
          <w:rStyle w:val="VerbatimChar"/>
        </w:rPr>
        <w:t xml:space="preserve">level</w:t>
      </w:r>
      <w:r>
        <w:t xml:space="preserve">. First rows as they appear:</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1277"/>
        <w:gridCol w:w="1368"/>
        <w:gridCol w:w="1277"/>
        <w:gridCol w:w="949"/>
        <w:gridCol w:w="949"/>
        <w:gridCol w:w="1127"/>
        <w:gridCol w:w="1179"/>
        <w:gridCol w:w="1234"/>
      </w:tblGrid>
      <w:tr>
        <w:trPr>
          <w:cnfStyle w:firstRow="1"/>
          <w:cantSplit/>
          <w:tblHeader/>
        </w:trPr>
        <w:tc>
          <w:tcPr>
            <w:tcW w:type="dxa" w:w="1277"/>
            <w:tcBorders>
              <w:bottom w:val="single"/>
            </w:tcBorders>
            <w:vAlign w:val="bottom"/>
          </w:tcPr>
          <w:p>
            <w:pPr>
              <w:pStyle w:val="Compact"/>
              <w:jc w:val="left"/>
            </w:pPr>
            <w:r>
              <w:rPr>
                <w:sz w:val="18"/>
                <w:szCs w:val="18"/>
              </w:rPr>
              <w:t xml:space="preserve">patient_id</w:t>
            </w:r>
          </w:p>
        </w:tc>
        <w:tc>
          <w:tcPr>
            <w:tcW w:type="dxa" w:w="1368"/>
            <w:tcBorders>
              <w:bottom w:val="single"/>
            </w:tcBorders>
            <w:vAlign w:val="bottom"/>
          </w:tcPr>
          <w:p>
            <w:pPr>
              <w:pStyle w:val="Compact"/>
              <w:jc w:val="left"/>
            </w:pPr>
            <w:r>
              <w:rPr>
                <w:sz w:val="18"/>
                <w:szCs w:val="18"/>
              </w:rPr>
              <w:t xml:space="preserve">study_id</w:t>
            </w:r>
          </w:p>
        </w:tc>
        <w:tc>
          <w:tcPr>
            <w:tcW w:type="dxa" w:w="1277"/>
            <w:tcBorders>
              <w:bottom w:val="single"/>
            </w:tcBorders>
            <w:vAlign w:val="bottom"/>
          </w:tcPr>
          <w:p>
            <w:pPr>
              <w:pStyle w:val="Compact"/>
              <w:jc w:val="left"/>
            </w:pPr>
            <w:r>
              <w:rPr>
                <w:sz w:val="18"/>
                <w:szCs w:val="18"/>
              </w:rPr>
              <w:t xml:space="preserve">date</w:t>
            </w:r>
          </w:p>
        </w:tc>
        <w:tc>
          <w:tcPr>
            <w:tcW w:type="dxa" w:w="949"/>
            <w:tcBorders>
              <w:bottom w:val="single"/>
            </w:tcBorders>
            <w:vAlign w:val="bottom"/>
          </w:tcPr>
          <w:p>
            <w:pPr>
              <w:pStyle w:val="Compact"/>
              <w:jc w:val="left"/>
            </w:pPr>
            <w:r>
              <w:rPr>
                <w:sz w:val="18"/>
                <w:szCs w:val="18"/>
              </w:rPr>
              <w:t xml:space="preserve">age</w:t>
            </w:r>
          </w:p>
        </w:tc>
        <w:tc>
          <w:tcPr>
            <w:tcW w:type="dxa" w:w="949"/>
            <w:tcBorders>
              <w:bottom w:val="single"/>
            </w:tcBorders>
            <w:vAlign w:val="bottom"/>
          </w:tcPr>
          <w:p>
            <w:pPr>
              <w:pStyle w:val="Compact"/>
              <w:jc w:val="left"/>
            </w:pPr>
            <w:r>
              <w:rPr>
                <w:sz w:val="18"/>
                <w:szCs w:val="18"/>
              </w:rPr>
              <w:t xml:space="preserve">sex</w:t>
            </w:r>
          </w:p>
        </w:tc>
        <w:tc>
          <w:tcPr>
            <w:tcW w:type="dxa" w:w="1127"/>
            <w:tcBorders>
              <w:bottom w:val="single"/>
            </w:tcBorders>
            <w:vAlign w:val="bottom"/>
          </w:tcPr>
          <w:p>
            <w:pPr>
              <w:pStyle w:val="Compact"/>
              <w:jc w:val="left"/>
            </w:pPr>
            <w:r>
              <w:rPr>
                <w:sz w:val="18"/>
                <w:szCs w:val="18"/>
              </w:rPr>
              <w:t xml:space="preserve">scanner</w:t>
            </w:r>
          </w:p>
        </w:tc>
        <w:tc>
          <w:tcPr>
            <w:tcW w:type="dxa" w:w="1179"/>
            <w:tcBorders>
              <w:bottom w:val="single"/>
            </w:tcBorders>
            <w:vAlign w:val="bottom"/>
          </w:tcPr>
          <w:p>
            <w:pPr>
              <w:pStyle w:val="Compact"/>
              <w:jc w:val="left"/>
            </w:pPr>
            <w:r>
              <w:rPr>
                <w:sz w:val="18"/>
                <w:szCs w:val="18"/>
              </w:rPr>
              <w:t xml:space="preserve">label</w:t>
            </w:r>
          </w:p>
        </w:tc>
        <w:tc>
          <w:tcPr>
            <w:tcW w:type="dxa" w:w="1234"/>
            <w:tcBorders>
              <w:bottom w:val="single"/>
            </w:tcBorders>
            <w:vAlign w:val="bottom"/>
          </w:tcPr>
          <w:p>
            <w:pPr>
              <w:pStyle w:val="Compact"/>
              <w:jc w:val="left"/>
            </w:pPr>
            <w:r>
              <w:rPr>
                <w:sz w:val="18"/>
                <w:szCs w:val="18"/>
              </w:rPr>
              <w:t xml:space="preserve">level</w:t>
            </w:r>
          </w:p>
        </w:tc>
      </w:tr>
      <w:tr>
        <w:trPr>
          <w:cantSplit/>
        </w:trPr>
        <w:tc>
          <w:tcPr>
            <w:tcW w:type="dxa" w:w="1277"/>
          </w:tcPr>
          <w:p>
            <w:pPr>
              <w:pStyle w:val="Compact"/>
              <w:jc w:val="left"/>
            </w:pPr>
            <w:r>
              <w:rPr>
                <w:sz w:val="18"/>
                <w:szCs w:val="18"/>
              </w:rPr>
              <w:t xml:space="preserve">100000</w:t>
            </w:r>
          </w:p>
        </w:tc>
        <w:tc>
          <w:tcPr>
            <w:tcW w:type="dxa" w:w="1368"/>
          </w:tcPr>
          <w:p>
            <w:pPr>
              <w:pStyle w:val="Compact"/>
              <w:jc w:val="left"/>
            </w:pPr>
            <w:r>
              <w:rPr>
                <w:sz w:val="18"/>
                <w:szCs w:val="18"/>
              </w:rPr>
              <w:t xml:space="preserve">100000_00001</w:t>
            </w:r>
          </w:p>
        </w:tc>
        <w:tc>
          <w:tcPr>
            <w:tcW w:type="dxa" w:w="1277"/>
          </w:tcPr>
          <w:p>
            <w:pPr>
              <w:pStyle w:val="Compact"/>
              <w:jc w:val="left"/>
            </w:pPr>
            <w:r>
              <w:rPr>
                <w:sz w:val="18"/>
                <w:szCs w:val="18"/>
              </w:rPr>
              <w:t xml:space="preserve">2018-10-04</w:t>
            </w:r>
          </w:p>
        </w:tc>
        <w:tc>
          <w:tcPr>
            <w:tcW w:type="dxa" w:w="949"/>
          </w:tcPr>
          <w:p>
            <w:pPr>
              <w:pStyle w:val="Compact"/>
              <w:jc w:val="left"/>
            </w:pPr>
            <w:r>
              <w:rPr>
                <w:sz w:val="18"/>
                <w:szCs w:val="18"/>
              </w:rPr>
              <w:t xml:space="preserve">042Y</w:t>
            </w:r>
          </w:p>
        </w:tc>
        <w:tc>
          <w:tcPr>
            <w:tcW w:type="dxa" w:w="949"/>
          </w:tcPr>
          <w:p>
            <w:pPr>
              <w:pStyle w:val="Compact"/>
              <w:jc w:val="left"/>
            </w:pPr>
            <w:r>
              <w:rPr>
                <w:sz w:val="18"/>
                <w:szCs w:val="18"/>
              </w:rPr>
              <w:t xml:space="preserve">F</w:t>
            </w:r>
          </w:p>
        </w:tc>
        <w:tc>
          <w:tcPr>
            <w:tcW w:type="dxa" w:w="1127"/>
          </w:tcPr>
          <w:p>
            <w:pPr>
              <w:pStyle w:val="Compact"/>
              <w:jc w:val="left"/>
            </w:pPr>
            <w:r>
              <w:rPr>
                <w:sz w:val="18"/>
                <w:szCs w:val="18"/>
              </w:rPr>
              <w:t xml:space="preserve">TOSHIBA</w:t>
            </w:r>
          </w:p>
        </w:tc>
        <w:tc>
          <w:tcPr>
            <w:tcW w:type="dxa" w:w="1179"/>
          </w:tcPr>
          <w:p>
            <w:pPr>
              <w:pStyle w:val="Compact"/>
              <w:jc w:val="left"/>
            </w:pPr>
            <w:r>
              <w:rPr>
                <w:sz w:val="18"/>
                <w:szCs w:val="18"/>
              </w:rPr>
              <w:t xml:space="preserve">non-PDAC</w:t>
            </w:r>
          </w:p>
        </w:tc>
        <w:tc>
          <w:tcPr>
            <w:tcW w:type="dxa" w:w="1234"/>
          </w:tcPr>
          <w:p>
            <w:pPr>
              <w:pStyle w:val="Compact"/>
              <w:jc w:val="left"/>
            </w:pPr>
            <w:r>
              <w:rPr>
                <w:sz w:val="18"/>
                <w:szCs w:val="18"/>
              </w:rPr>
              <w:t xml:space="preserve">radiology</w:t>
            </w:r>
          </w:p>
        </w:tc>
      </w:tr>
      <w:tr>
        <w:trPr>
          <w:cantSplit/>
        </w:trPr>
        <w:tc>
          <w:tcPr>
            <w:tcW w:type="dxa" w:w="1277"/>
          </w:tcPr>
          <w:p>
            <w:pPr>
              <w:pStyle w:val="Compact"/>
              <w:jc w:val="left"/>
            </w:pPr>
            <w:r>
              <w:rPr>
                <w:sz w:val="18"/>
                <w:szCs w:val="18"/>
              </w:rPr>
              <w:t xml:space="preserve">100001</w:t>
            </w:r>
          </w:p>
        </w:tc>
        <w:tc>
          <w:tcPr>
            <w:tcW w:type="dxa" w:w="1368"/>
          </w:tcPr>
          <w:p>
            <w:pPr>
              <w:pStyle w:val="Compact"/>
              <w:jc w:val="left"/>
            </w:pPr>
            <w:r>
              <w:rPr>
                <w:sz w:val="18"/>
                <w:szCs w:val="18"/>
              </w:rPr>
              <w:t xml:space="preserve">100001_00001</w:t>
            </w:r>
          </w:p>
        </w:tc>
        <w:tc>
          <w:tcPr>
            <w:tcW w:type="dxa" w:w="1277"/>
          </w:tcPr>
          <w:p>
            <w:pPr>
              <w:pStyle w:val="Compact"/>
              <w:jc w:val="left"/>
            </w:pPr>
            <w:r>
              <w:rPr>
                <w:sz w:val="18"/>
                <w:szCs w:val="18"/>
              </w:rPr>
              <w:t xml:space="preserve">2014-04-24</w:t>
            </w:r>
          </w:p>
        </w:tc>
        <w:tc>
          <w:tcPr>
            <w:tcW w:type="dxa" w:w="949"/>
          </w:tcPr>
          <w:p>
            <w:pPr>
              <w:pStyle w:val="Compact"/>
              <w:jc w:val="left"/>
            </w:pPr>
            <w:r>
              <w:rPr>
                <w:sz w:val="18"/>
                <w:szCs w:val="18"/>
              </w:rPr>
              <w:t xml:space="preserve">068Y</w:t>
            </w:r>
          </w:p>
        </w:tc>
        <w:tc>
          <w:tcPr>
            <w:tcW w:type="dxa" w:w="949"/>
          </w:tcPr>
          <w:p>
            <w:pPr>
              <w:pStyle w:val="Compact"/>
              <w:jc w:val="left"/>
            </w:pPr>
            <w:r>
              <w:rPr>
                <w:sz w:val="18"/>
                <w:szCs w:val="18"/>
              </w:rPr>
              <w:t xml:space="preserve">M</w:t>
            </w:r>
          </w:p>
        </w:tc>
        <w:tc>
          <w:tcPr>
            <w:tcW w:type="dxa" w:w="1127"/>
          </w:tcPr>
          <w:p>
            <w:pPr>
              <w:pStyle w:val="Compact"/>
              <w:jc w:val="left"/>
            </w:pPr>
            <w:r>
              <w:rPr>
                <w:sz w:val="18"/>
                <w:szCs w:val="18"/>
              </w:rPr>
              <w:t xml:space="preserve">SIEMENS</w:t>
            </w:r>
          </w:p>
        </w:tc>
        <w:tc>
          <w:tcPr>
            <w:tcW w:type="dxa" w:w="1179"/>
          </w:tcPr>
          <w:p>
            <w:pPr>
              <w:pStyle w:val="Compact"/>
              <w:jc w:val="left"/>
            </w:pPr>
            <w:r>
              <w:rPr>
                <w:sz w:val="18"/>
                <w:szCs w:val="18"/>
              </w:rPr>
              <w:t xml:space="preserve">non-PDAC</w:t>
            </w:r>
          </w:p>
        </w:tc>
        <w:tc>
          <w:tcPr>
            <w:tcW w:type="dxa" w:w="1234"/>
          </w:tcPr>
          <w:p>
            <w:pPr>
              <w:pStyle w:val="Compact"/>
              <w:jc w:val="left"/>
            </w:pPr>
            <w:r>
              <w:rPr>
                <w:sz w:val="18"/>
                <w:szCs w:val="18"/>
              </w:rPr>
              <w:t xml:space="preserve">radiology</w:t>
            </w:r>
          </w:p>
        </w:tc>
      </w:tr>
      <w:tr>
        <w:trPr>
          <w:cantSplit/>
        </w:trPr>
        <w:tc>
          <w:tcPr>
            <w:tcW w:type="dxa" w:w="1277"/>
          </w:tcPr>
          <w:p>
            <w:pPr>
              <w:pStyle w:val="Compact"/>
              <w:jc w:val="left"/>
            </w:pPr>
            <w:r>
              <w:rPr>
                <w:sz w:val="18"/>
                <w:szCs w:val="18"/>
              </w:rPr>
              <w:t xml:space="preserve">100002</w:t>
            </w:r>
          </w:p>
        </w:tc>
        <w:tc>
          <w:tcPr>
            <w:tcW w:type="dxa" w:w="1368"/>
          </w:tcPr>
          <w:p>
            <w:pPr>
              <w:pStyle w:val="Compact"/>
              <w:jc w:val="left"/>
            </w:pPr>
            <w:r>
              <w:rPr>
                <w:sz w:val="18"/>
                <w:szCs w:val="18"/>
              </w:rPr>
              <w:t xml:space="preserve">100002_00001</w:t>
            </w:r>
          </w:p>
        </w:tc>
        <w:tc>
          <w:tcPr>
            <w:tcW w:type="dxa" w:w="1277"/>
          </w:tcPr>
          <w:p>
            <w:pPr>
              <w:pStyle w:val="Compact"/>
              <w:jc w:val="left"/>
            </w:pPr>
            <w:r>
              <w:rPr>
                <w:sz w:val="18"/>
                <w:szCs w:val="18"/>
              </w:rPr>
              <w:t xml:space="preserve">2021-03-02</w:t>
            </w:r>
          </w:p>
        </w:tc>
        <w:tc>
          <w:tcPr>
            <w:tcW w:type="dxa" w:w="949"/>
          </w:tcPr>
          <w:p>
            <w:pPr>
              <w:pStyle w:val="Compact"/>
              <w:jc w:val="left"/>
            </w:pPr>
            <w:r>
              <w:rPr>
                <w:sz w:val="18"/>
                <w:szCs w:val="18"/>
              </w:rPr>
              <w:t xml:space="preserve">077Y</w:t>
            </w:r>
          </w:p>
        </w:tc>
        <w:tc>
          <w:tcPr>
            <w:tcW w:type="dxa" w:w="949"/>
          </w:tcPr>
          <w:p>
            <w:pPr>
              <w:pStyle w:val="Compact"/>
              <w:jc w:val="left"/>
            </w:pPr>
            <w:r>
              <w:rPr>
                <w:sz w:val="18"/>
                <w:szCs w:val="18"/>
              </w:rPr>
              <w:t xml:space="preserve">F</w:t>
            </w:r>
          </w:p>
        </w:tc>
        <w:tc>
          <w:tcPr>
            <w:tcW w:type="dxa" w:w="1127"/>
          </w:tcPr>
          <w:p>
            <w:pPr>
              <w:pStyle w:val="Compact"/>
              <w:jc w:val="left"/>
            </w:pPr>
            <w:r>
              <w:rPr>
                <w:sz w:val="18"/>
                <w:szCs w:val="18"/>
              </w:rPr>
              <w:t xml:space="preserve">TOSHIBA</w:t>
            </w:r>
          </w:p>
        </w:tc>
        <w:tc>
          <w:tcPr>
            <w:tcW w:type="dxa" w:w="1179"/>
          </w:tcPr>
          <w:p>
            <w:pPr>
              <w:pStyle w:val="Compact"/>
              <w:jc w:val="left"/>
            </w:pPr>
            <w:r>
              <w:rPr>
                <w:sz w:val="18"/>
                <w:szCs w:val="18"/>
              </w:rPr>
              <w:t xml:space="preserve">PDAC</w:t>
            </w:r>
          </w:p>
        </w:tc>
        <w:tc>
          <w:tcPr>
            <w:tcW w:type="dxa" w:w="1234"/>
          </w:tcPr>
          <w:p>
            <w:pPr>
              <w:pStyle w:val="Compact"/>
              <w:jc w:val="left"/>
            </w:pPr>
            <w:r>
              <w:rPr>
                <w:sz w:val="18"/>
                <w:szCs w:val="18"/>
              </w:rPr>
              <w:t xml:space="preserve">pathology</w:t>
            </w:r>
          </w:p>
        </w:tc>
      </w:tr>
      <w:tr>
        <w:trPr>
          <w:cantSplit/>
        </w:trPr>
        <w:tc>
          <w:tcPr>
            <w:tcW w:type="dxa" w:w="1277"/>
          </w:tcPr>
          <w:p>
            <w:pPr>
              <w:pStyle w:val="Compact"/>
              <w:jc w:val="left"/>
            </w:pPr>
            <w:r>
              <w:rPr>
                <w:sz w:val="18"/>
                <w:szCs w:val="18"/>
              </w:rPr>
              <w:t xml:space="preserve">100003</w:t>
            </w:r>
          </w:p>
        </w:tc>
        <w:tc>
          <w:tcPr>
            <w:tcW w:type="dxa" w:w="1368"/>
          </w:tcPr>
          <w:p>
            <w:pPr>
              <w:pStyle w:val="Compact"/>
              <w:jc w:val="left"/>
            </w:pPr>
            <w:r>
              <w:rPr>
                <w:sz w:val="18"/>
                <w:szCs w:val="18"/>
              </w:rPr>
              <w:t xml:space="preserve">100003_00001</w:t>
            </w:r>
          </w:p>
        </w:tc>
        <w:tc>
          <w:tcPr>
            <w:tcW w:type="dxa" w:w="1277"/>
          </w:tcPr>
          <w:p>
            <w:pPr>
              <w:pStyle w:val="Compact"/>
              <w:jc w:val="left"/>
            </w:pPr>
            <w:r>
              <w:rPr>
                <w:sz w:val="18"/>
                <w:szCs w:val="18"/>
              </w:rPr>
              <w:t xml:space="preserve">2016-12-28</w:t>
            </w:r>
          </w:p>
        </w:tc>
        <w:tc>
          <w:tcPr>
            <w:tcW w:type="dxa" w:w="949"/>
          </w:tcPr>
          <w:p>
            <w:pPr>
              <w:pStyle w:val="Compact"/>
              <w:jc w:val="left"/>
            </w:pPr>
            <w:r>
              <w:rPr>
                <w:sz w:val="18"/>
                <w:szCs w:val="18"/>
              </w:rPr>
              <w:t xml:space="preserve">057Y</w:t>
            </w:r>
          </w:p>
        </w:tc>
        <w:tc>
          <w:tcPr>
            <w:tcW w:type="dxa" w:w="949"/>
          </w:tcPr>
          <w:p>
            <w:pPr>
              <w:pStyle w:val="Compact"/>
              <w:jc w:val="left"/>
            </w:pPr>
            <w:r>
              <w:rPr>
                <w:sz w:val="18"/>
                <w:szCs w:val="18"/>
              </w:rPr>
              <w:t xml:space="preserve">M</w:t>
            </w:r>
          </w:p>
        </w:tc>
        <w:tc>
          <w:tcPr>
            <w:tcW w:type="dxa" w:w="1127"/>
          </w:tcPr>
          <w:p>
            <w:pPr>
              <w:pStyle w:val="Compact"/>
              <w:jc w:val="left"/>
            </w:pPr>
            <w:r>
              <w:rPr>
                <w:sz w:val="18"/>
                <w:szCs w:val="18"/>
              </w:rPr>
              <w:t xml:space="preserve">TOSHIBA</w:t>
            </w:r>
          </w:p>
        </w:tc>
        <w:tc>
          <w:tcPr>
            <w:tcW w:type="dxa" w:w="1179"/>
          </w:tcPr>
          <w:p>
            <w:pPr>
              <w:pStyle w:val="Compact"/>
              <w:jc w:val="left"/>
            </w:pPr>
            <w:r>
              <w:rPr>
                <w:sz w:val="18"/>
                <w:szCs w:val="18"/>
              </w:rPr>
              <w:t xml:space="preserve">PDAC</w:t>
            </w:r>
          </w:p>
        </w:tc>
        <w:tc>
          <w:tcPr>
            <w:tcW w:type="dxa" w:w="1234"/>
          </w:tcPr>
          <w:p>
            <w:pPr>
              <w:pStyle w:val="Compact"/>
              <w:jc w:val="left"/>
            </w:pPr>
            <w:r>
              <w:rPr>
                <w:sz w:val="18"/>
                <w:szCs w:val="18"/>
              </w:rPr>
              <w:t xml:space="preserve">cytology</w:t>
            </w:r>
          </w:p>
        </w:tc>
      </w:tr>
      <w:tr>
        <w:trPr>
          <w:cantSplit/>
        </w:trPr>
        <w:tc>
          <w:tcPr>
            <w:tcW w:type="dxa" w:w="1277"/>
          </w:tcPr>
          <w:p>
            <w:pPr>
              <w:pStyle w:val="Compact"/>
              <w:jc w:val="left"/>
            </w:pPr>
            <w:r>
              <w:rPr>
                <w:sz w:val="18"/>
                <w:szCs w:val="18"/>
              </w:rPr>
              <w:t xml:space="preserve">100004</w:t>
            </w:r>
          </w:p>
        </w:tc>
        <w:tc>
          <w:tcPr>
            <w:tcW w:type="dxa" w:w="1368"/>
          </w:tcPr>
          <w:p>
            <w:pPr>
              <w:pStyle w:val="Compact"/>
              <w:jc w:val="left"/>
            </w:pPr>
            <w:r>
              <w:rPr>
                <w:sz w:val="18"/>
                <w:szCs w:val="18"/>
              </w:rPr>
              <w:t xml:space="preserve">100004_00001</w:t>
            </w:r>
          </w:p>
        </w:tc>
        <w:tc>
          <w:tcPr>
            <w:tcW w:type="dxa" w:w="1277"/>
          </w:tcPr>
          <w:p>
            <w:pPr>
              <w:pStyle w:val="Compact"/>
              <w:jc w:val="left"/>
            </w:pPr>
            <w:r>
              <w:rPr>
                <w:sz w:val="18"/>
                <w:szCs w:val="18"/>
              </w:rPr>
              <w:t xml:space="preserve">2018-02-09</w:t>
            </w:r>
          </w:p>
        </w:tc>
        <w:tc>
          <w:tcPr>
            <w:tcW w:type="dxa" w:w="949"/>
          </w:tcPr>
          <w:p>
            <w:pPr>
              <w:pStyle w:val="Compact"/>
              <w:jc w:val="left"/>
            </w:pPr>
            <w:r>
              <w:rPr>
                <w:sz w:val="18"/>
                <w:szCs w:val="18"/>
              </w:rPr>
              <w:t xml:space="preserve">068Y</w:t>
            </w:r>
          </w:p>
        </w:tc>
        <w:tc>
          <w:tcPr>
            <w:tcW w:type="dxa" w:w="949"/>
          </w:tcPr>
          <w:p>
            <w:pPr>
              <w:pStyle w:val="Compact"/>
              <w:jc w:val="left"/>
            </w:pPr>
            <w:r>
              <w:rPr>
                <w:sz w:val="18"/>
                <w:szCs w:val="18"/>
              </w:rPr>
              <w:t xml:space="preserve">M</w:t>
            </w:r>
          </w:p>
        </w:tc>
        <w:tc>
          <w:tcPr>
            <w:tcW w:type="dxa" w:w="1127"/>
          </w:tcPr>
          <w:p>
            <w:pPr>
              <w:pStyle w:val="Compact"/>
              <w:jc w:val="left"/>
            </w:pPr>
            <w:r>
              <w:rPr>
                <w:sz w:val="18"/>
                <w:szCs w:val="18"/>
              </w:rPr>
              <w:t xml:space="preserve">SIEMENS</w:t>
            </w:r>
          </w:p>
        </w:tc>
        <w:tc>
          <w:tcPr>
            <w:tcW w:type="dxa" w:w="1179"/>
          </w:tcPr>
          <w:p>
            <w:pPr>
              <w:pStyle w:val="Compact"/>
              <w:jc w:val="left"/>
            </w:pPr>
            <w:r>
              <w:rPr>
                <w:sz w:val="18"/>
                <w:szCs w:val="18"/>
              </w:rPr>
              <w:t xml:space="preserve">non-PDAC</w:t>
            </w:r>
          </w:p>
        </w:tc>
        <w:tc>
          <w:tcPr>
            <w:tcW w:type="dxa" w:w="1234"/>
          </w:tcPr>
          <w:p>
            <w:pPr>
              <w:pStyle w:val="Compact"/>
              <w:jc w:val="left"/>
            </w:pPr>
            <w:r>
              <w:rPr>
                <w:sz w:val="18"/>
                <w:szCs w:val="18"/>
              </w:rPr>
              <w:t xml:space="preserve">radiology</w:t>
            </w:r>
          </w:p>
        </w:tc>
      </w:tr>
    </w:tbl>
    <w:p>
      <w:pPr>
        <w:pStyle w:val="Heading3"/>
      </w:pPr>
      <w:bookmarkStart w:id="28" w:name="Xc720037022c017849d050ba13bbc4a8220070f7"/>
      <w:r>
        <w:t xml:space="preserve">A4.2 The</w:t>
      </w:r>
      <w:r>
        <w:t xml:space="preserve"> </w:t>
      </w:r>
      <w:r>
        <w:rPr>
          <w:rStyle w:val="VerbatimChar"/>
        </w:rPr>
        <w:t xml:space="preserve">level</w:t>
      </w:r>
      <w:r>
        <w:t xml:space="preserve"> </w:t>
      </w:r>
      <w:r>
        <w:t xml:space="preserve">column identifies imported cases by name</w:t>
      </w:r>
      <w:bookmarkEnd w:id="28"/>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6712"/>
        <w:gridCol w:w="2648"/>
      </w:tblGrid>
      <w:tr>
        <w:trPr>
          <w:cnfStyle w:firstRow="1"/>
          <w:cantSplit/>
          <w:tblHeader/>
        </w:trPr>
        <w:tc>
          <w:tcPr>
            <w:tcW w:type="dxa" w:w="6712"/>
            <w:tcBorders>
              <w:bottom w:val="single"/>
            </w:tcBorders>
            <w:vAlign w:val="bottom"/>
          </w:tcPr>
          <w:p>
            <w:pPr>
              <w:pStyle w:val="Compact"/>
              <w:jc w:val="left"/>
            </w:pPr>
            <w:r>
              <w:rPr>
                <w:sz w:val="18"/>
                <w:szCs w:val="18"/>
              </w:rPr>
              <w:t xml:space="preserve">level</w:t>
            </w:r>
          </w:p>
        </w:tc>
        <w:tc>
          <w:tcPr>
            <w:tcW w:type="dxa" w:w="2648"/>
            <w:tcBorders>
              <w:bottom w:val="single"/>
            </w:tcBorders>
            <w:vAlign w:val="bottom"/>
          </w:tcPr>
          <w:p>
            <w:pPr>
              <w:pStyle w:val="Compact"/>
              <w:jc w:val="right"/>
            </w:pPr>
            <w:r>
              <w:rPr>
                <w:sz w:val="18"/>
                <w:szCs w:val="18"/>
              </w:rPr>
              <w:t xml:space="preserve">n</w:t>
            </w:r>
          </w:p>
        </w:tc>
      </w:tr>
      <w:tr>
        <w:trPr>
          <w:cantSplit/>
        </w:trPr>
        <w:tc>
          <w:tcPr>
            <w:tcW w:type="dxa" w:w="6712"/>
          </w:tcPr>
          <w:p>
            <w:pPr>
              <w:pStyle w:val="Compact"/>
              <w:jc w:val="left"/>
            </w:pPr>
            <w:r>
              <w:rPr>
                <w:sz w:val="18"/>
                <w:szCs w:val="18"/>
              </w:rPr>
              <w:t xml:space="preserve">radiology</w:t>
            </w:r>
          </w:p>
        </w:tc>
        <w:tc>
          <w:tcPr>
            <w:tcW w:type="dxa" w:w="2648"/>
          </w:tcPr>
          <w:p>
            <w:pPr>
              <w:pStyle w:val="Compact"/>
              <w:jc w:val="right"/>
            </w:pPr>
            <w:r>
              <w:rPr>
                <w:sz w:val="18"/>
                <w:szCs w:val="18"/>
              </w:rPr>
              <w:t xml:space="preserve">1,212</w:t>
            </w:r>
          </w:p>
        </w:tc>
      </w:tr>
      <w:tr>
        <w:trPr>
          <w:cantSplit/>
        </w:trPr>
        <w:tc>
          <w:tcPr>
            <w:tcW w:type="dxa" w:w="6712"/>
          </w:tcPr>
          <w:p>
            <w:pPr>
              <w:pStyle w:val="Compact"/>
              <w:jc w:val="left"/>
            </w:pPr>
            <w:r>
              <w:rPr>
                <w:sz w:val="18"/>
                <w:szCs w:val="18"/>
              </w:rPr>
              <w:t xml:space="preserve">histopathology</w:t>
            </w:r>
          </w:p>
        </w:tc>
        <w:tc>
          <w:tcPr>
            <w:tcW w:type="dxa" w:w="2648"/>
          </w:tcPr>
          <w:p>
            <w:pPr>
              <w:pStyle w:val="Compact"/>
              <w:jc w:val="right"/>
            </w:pPr>
            <w:r>
              <w:rPr>
                <w:sz w:val="18"/>
                <w:szCs w:val="18"/>
              </w:rPr>
              <w:t xml:space="preserve">353</w:t>
            </w:r>
          </w:p>
        </w:tc>
      </w:tr>
      <w:tr>
        <w:trPr>
          <w:cantSplit/>
        </w:trPr>
        <w:tc>
          <w:tcPr>
            <w:tcW w:type="dxa" w:w="6712"/>
          </w:tcPr>
          <w:p>
            <w:pPr>
              <w:pStyle w:val="Compact"/>
              <w:jc w:val="left"/>
            </w:pPr>
            <w:r>
              <w:rPr>
                <w:sz w:val="18"/>
                <w:szCs w:val="18"/>
              </w:rPr>
              <w:t xml:space="preserve">pathology</w:t>
            </w:r>
          </w:p>
        </w:tc>
        <w:tc>
          <w:tcPr>
            <w:tcW w:type="dxa" w:w="2648"/>
          </w:tcPr>
          <w:p>
            <w:pPr>
              <w:pStyle w:val="Compact"/>
              <w:jc w:val="right"/>
            </w:pPr>
            <w:r>
              <w:rPr>
                <w:sz w:val="18"/>
                <w:szCs w:val="18"/>
              </w:rPr>
              <w:t xml:space="preserve">210</w:t>
            </w:r>
          </w:p>
        </w:tc>
      </w:tr>
      <w:tr>
        <w:trPr>
          <w:cantSplit/>
        </w:trPr>
        <w:tc>
          <w:tcPr>
            <w:tcW w:type="dxa" w:w="6712"/>
          </w:tcPr>
          <w:p>
            <w:pPr>
              <w:pStyle w:val="Compact"/>
              <w:jc w:val="left"/>
            </w:pPr>
            <w:r>
              <w:rPr>
                <w:b/>
                <w:sz w:val="18"/>
                <w:szCs w:val="18"/>
              </w:rPr>
              <w:t xml:space="preserve">MSD_dataset</w:t>
            </w:r>
          </w:p>
        </w:tc>
        <w:tc>
          <w:tcPr>
            <w:tcW w:type="dxa" w:w="2648"/>
          </w:tcPr>
          <w:p>
            <w:pPr>
              <w:pStyle w:val="Compact"/>
              <w:jc w:val="right"/>
            </w:pPr>
            <w:r>
              <w:rPr>
                <w:b/>
                <w:sz w:val="18"/>
                <w:szCs w:val="18"/>
              </w:rPr>
              <w:t xml:space="preserve">194</w:t>
            </w:r>
          </w:p>
        </w:tc>
      </w:tr>
      <w:tr>
        <w:trPr>
          <w:cantSplit/>
        </w:trPr>
        <w:tc>
          <w:tcPr>
            <w:tcW w:type="dxa" w:w="6712"/>
          </w:tcPr>
          <w:p>
            <w:pPr>
              <w:pStyle w:val="Compact"/>
              <w:jc w:val="left"/>
            </w:pPr>
            <w:r>
              <w:rPr>
                <w:sz w:val="18"/>
                <w:szCs w:val="18"/>
              </w:rPr>
              <w:t xml:space="preserve">cytology</w:t>
            </w:r>
          </w:p>
        </w:tc>
        <w:tc>
          <w:tcPr>
            <w:tcW w:type="dxa" w:w="2648"/>
          </w:tcPr>
          <w:p>
            <w:pPr>
              <w:pStyle w:val="Compact"/>
              <w:jc w:val="right"/>
            </w:pPr>
            <w:r>
              <w:rPr>
                <w:sz w:val="18"/>
                <w:szCs w:val="18"/>
              </w:rPr>
              <w:t xml:space="preserve">183</w:t>
            </w:r>
          </w:p>
        </w:tc>
      </w:tr>
      <w:tr>
        <w:trPr>
          <w:cantSplit/>
        </w:trPr>
        <w:tc>
          <w:tcPr>
            <w:tcW w:type="dxa" w:w="6712"/>
          </w:tcPr>
          <w:p>
            <w:pPr>
              <w:pStyle w:val="Compact"/>
              <w:jc w:val="left"/>
            </w:pPr>
            <w:r>
              <w:rPr>
                <w:b/>
                <w:sz w:val="18"/>
                <w:szCs w:val="18"/>
              </w:rPr>
              <w:t xml:space="preserve">NIH_dataset</w:t>
            </w:r>
          </w:p>
        </w:tc>
        <w:tc>
          <w:tcPr>
            <w:tcW w:type="dxa" w:w="2648"/>
          </w:tcPr>
          <w:p>
            <w:pPr>
              <w:pStyle w:val="Compact"/>
              <w:jc w:val="right"/>
            </w:pPr>
            <w:r>
              <w:rPr>
                <w:b/>
                <w:sz w:val="18"/>
                <w:szCs w:val="18"/>
              </w:rPr>
              <w:t xml:space="preserve">80</w:t>
            </w:r>
          </w:p>
        </w:tc>
      </w:tr>
      <w:tr>
        <w:trPr>
          <w:cantSplit/>
        </w:trPr>
        <w:tc>
          <w:tcPr>
            <w:tcW w:type="dxa" w:w="6712"/>
          </w:tcPr>
          <w:p>
            <w:pPr>
              <w:pStyle w:val="Compact"/>
              <w:jc w:val="left"/>
            </w:pPr>
            <w:r>
              <w:rPr>
                <w:sz w:val="18"/>
                <w:szCs w:val="18"/>
              </w:rPr>
              <w:t xml:space="preserve">radiology / 3-year follow-up</w:t>
            </w:r>
          </w:p>
        </w:tc>
        <w:tc>
          <w:tcPr>
            <w:tcW w:type="dxa" w:w="2648"/>
          </w:tcPr>
          <w:p>
            <w:pPr>
              <w:pStyle w:val="Compact"/>
              <w:jc w:val="right"/>
            </w:pPr>
            <w:r>
              <w:rPr>
                <w:sz w:val="18"/>
                <w:szCs w:val="18"/>
              </w:rPr>
              <w:t xml:space="preserve">6</w:t>
            </w:r>
          </w:p>
        </w:tc>
      </w:tr>
    </w:tbl>
    <w:p>
      <w:pPr>
        <w:pStyle w:val="BodyText"/>
      </w:pPr>
      <w:r>
        <w:t xml:space="preserve">Cross-check against the published README —</w:t>
      </w:r>
      <w:r>
        <w:t xml:space="preserve"> </w:t>
      </w:r>
      <w:r>
        <w:rPr>
          <w:i/>
        </w:rPr>
        <w:t xml:space="preserve">“</w:t>
      </w:r>
      <w:r>
        <w:rPr>
          <w:i/>
        </w:rPr>
        <w:t xml:space="preserve">80 patients without PDAC from NIH and 194 patients (98 PDAC) from MSD</w:t>
      </w:r>
      <w:r>
        <w:rPr>
          <w:i/>
        </w:rPr>
        <w:t xml:space="preserve">”</w:t>
      </w:r>
      <w:r>
        <w:t xml:space="preserve"> </w:t>
      </w:r>
      <w:r>
        <w:t xml:space="preserve">— the file gives MSD_dataset as 98 PDAC / 96 non-PDAC and NIH_dataset as 0 PDAC / 80 non-PDAC. Consistent on every figure.</w:t>
      </w:r>
    </w:p>
    <w:p>
      <w:pPr>
        <w:pStyle w:val="BodyText"/>
      </w:pPr>
      <w:r>
        <w:t xml:space="preserve">Implementation, with the load-time assertion:</w:t>
      </w:r>
    </w:p>
    <w:p>
      <w:pPr>
        <w:pStyle w:val="SourceCode"/>
      </w:pPr>
      <w:r>
        <w:rPr>
          <w:rStyle w:val="NormalTok"/>
        </w:rPr>
        <w:t xml:space="preserve">IMPORTS </w:t>
      </w:r>
      <w:r>
        <w:rPr>
          <w:rStyle w:val="OperatorTok"/>
        </w:rPr>
        <w:t xml:space="preserve">=</w:t>
      </w:r>
      <w:r>
        <w:rPr>
          <w:rStyle w:val="NormalTok"/>
        </w:rPr>
        <w:t xml:space="preserve"> {</w:t>
      </w:r>
      <w:r>
        <w:rPr>
          <w:rStyle w:val="StringTok"/>
        </w:rPr>
        <w:t xml:space="preserve">"MSD_dataset"</w:t>
      </w:r>
      <w:r>
        <w:rPr>
          <w:rStyle w:val="NormalTok"/>
        </w:rPr>
        <w:t xml:space="preserve">, </w:t>
      </w:r>
      <w:r>
        <w:rPr>
          <w:rStyle w:val="StringTok"/>
        </w:rPr>
        <w:t xml:space="preserve">"NIH_dataset"</w:t>
      </w:r>
      <w:r>
        <w:rPr>
          <w:rStyle w:val="NormalTok"/>
        </w:rPr>
        <w:t xml:space="preserve">}</w:t>
      </w:r>
      <w:r>
        <w:br/>
      </w:r>
      <w:r>
        <w:rPr>
          <w:rStyle w:val="NormalTok"/>
        </w:rPr>
        <w:t xml:space="preserve">clean </w:t>
      </w:r>
      <w:r>
        <w:rPr>
          <w:rStyle w:val="OperatorTok"/>
        </w:rPr>
        <w:t xml:space="preserve">=</w:t>
      </w:r>
      <w:r>
        <w:rPr>
          <w:rStyle w:val="NormalTok"/>
        </w:rPr>
        <w:t xml:space="preserve"> df[</w:t>
      </w:r>
      <w:r>
        <w:rPr>
          <w:rStyle w:val="OperatorTok"/>
        </w:rPr>
        <w:t xml:space="preserve">~</w:t>
      </w:r>
      <w:r>
        <w:rPr>
          <w:rStyle w:val="NormalTok"/>
        </w:rPr>
        <w:t xml:space="preserve">df.level.isin(IMPORTS)]</w:t>
      </w:r>
      <w:r>
        <w:br/>
      </w:r>
      <w:r>
        <w:rPr>
          <w:rStyle w:val="ControlFlowTok"/>
        </w:rPr>
        <w:t xml:space="preserve">assert</w:t>
      </w:r>
      <w:r>
        <w:rPr>
          <w:rStyle w:val="NormalTok"/>
        </w:rPr>
        <w:t xml:space="preserve"> </w:t>
      </w:r>
      <w:r>
        <w:rPr>
          <w:rStyle w:val="BuiltInTok"/>
        </w:rPr>
        <w:t xml:space="preserve">len</w:t>
      </w:r>
      <w:r>
        <w:rPr>
          <w:rStyle w:val="NormalTok"/>
        </w:rPr>
        <w:t xml:space="preserve">(clean) </w:t>
      </w:r>
      <w:r>
        <w:rPr>
          <w:rStyle w:val="OperatorTok"/>
        </w:rPr>
        <w:t xml:space="preserve">==</w:t>
      </w:r>
      <w:r>
        <w:rPr>
          <w:rStyle w:val="NormalTok"/>
        </w:rPr>
        <w:t xml:space="preserve"> </w:t>
      </w:r>
      <w:r>
        <w:rPr>
          <w:rStyle w:val="DecValTok"/>
        </w:rPr>
        <w:t xml:space="preserve">1964</w:t>
      </w:r>
      <w:r>
        <w:rPr>
          <w:rStyle w:val="NormalTok"/>
        </w:rPr>
        <w:t xml:space="preserve"> </w:t>
      </w:r>
      <w:r>
        <w:rPr>
          <w:rStyle w:val="KeywordTok"/>
        </w:rPr>
        <w:t xml:space="preserve">and</w:t>
      </w:r>
      <w:r>
        <w:rPr>
          <w:rStyle w:val="NormalTok"/>
        </w:rPr>
        <w:t xml:space="preserve"> (clean.label </w:t>
      </w:r>
      <w:r>
        <w:rPr>
          <w:rStyle w:val="OperatorTok"/>
        </w:rPr>
        <w:t xml:space="preserve">==</w:t>
      </w:r>
      <w:r>
        <w:rPr>
          <w:rStyle w:val="NormalTok"/>
        </w:rPr>
        <w:t xml:space="preserve"> </w:t>
      </w:r>
      <w:r>
        <w:rPr>
          <w:rStyle w:val="StringTok"/>
        </w:rPr>
        <w:t xml:space="preserve">"PDAC"</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578</w:t>
      </w:r>
    </w:p>
    <w:p>
      <w:pPr>
        <w:pStyle w:val="Heading3"/>
      </w:pPr>
      <w:bookmarkStart w:id="29" w:name="a4.3-file-reconciliation-exact"/>
      <w:r>
        <w:t xml:space="preserve">A4.3 File reconciliation — exact</w:t>
      </w:r>
      <w:bookmarkEnd w:id="29"/>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3305"/>
        <w:gridCol w:w="2265"/>
        <w:gridCol w:w="3790"/>
      </w:tblGrid>
      <w:tr>
        <w:trPr>
          <w:cnfStyle w:firstRow="1"/>
          <w:cantSplit/>
          <w:tblHeader/>
        </w:trPr>
        <w:tc>
          <w:tcPr>
            <w:tcW w:type="dxa" w:w="3305"/>
            <w:tcBorders>
              <w:bottom w:val="single"/>
            </w:tcBorders>
            <w:vAlign w:val="bottom"/>
          </w:tcPr>
          <w:p>
            <w:pPr>
              <w:pStyle w:val="Compact"/>
              <w:jc w:val="left"/>
            </w:pPr>
            <w:r>
              <w:rPr>
                <w:sz w:val="18"/>
                <w:szCs w:val="18"/>
              </w:rPr>
              <w:t xml:space="preserve">directory</w:t>
            </w:r>
          </w:p>
        </w:tc>
        <w:tc>
          <w:tcPr>
            <w:tcW w:type="dxa" w:w="2265"/>
            <w:tcBorders>
              <w:bottom w:val="single"/>
            </w:tcBorders>
            <w:vAlign w:val="bottom"/>
          </w:tcPr>
          <w:p>
            <w:pPr>
              <w:pStyle w:val="Compact"/>
              <w:jc w:val="right"/>
            </w:pPr>
            <w:r>
              <w:rPr>
                <w:sz w:val="18"/>
                <w:szCs w:val="18"/>
              </w:rPr>
              <w:t xml:space="preserve">observed</w:t>
            </w:r>
          </w:p>
        </w:tc>
        <w:tc>
          <w:tcPr>
            <w:tcW w:type="dxa" w:w="3790"/>
            <w:tcBorders>
              <w:bottom w:val="single"/>
            </w:tcBorders>
            <w:vAlign w:val="bottom"/>
          </w:tcPr>
          <w:p>
            <w:pPr>
              <w:pStyle w:val="Compact"/>
              <w:jc w:val="right"/>
            </w:pPr>
            <w:r>
              <w:rPr>
                <w:sz w:val="18"/>
                <w:szCs w:val="18"/>
              </w:rPr>
              <w:t xml:space="preserve">documented</w:t>
            </w:r>
          </w:p>
        </w:tc>
      </w:tr>
      <w:tr>
        <w:trPr>
          <w:cantSplit/>
        </w:trPr>
        <w:tc>
          <w:tcPr>
            <w:tcW w:type="dxa" w:w="3305"/>
          </w:tcPr>
          <w:p>
            <w:pPr>
              <w:pStyle w:val="Compact"/>
              <w:jc w:val="left"/>
            </w:pPr>
            <w:r>
              <w:rPr>
                <w:rStyle w:val="VerbatimChar"/>
                <w:sz w:val="18"/>
                <w:szCs w:val="18"/>
              </w:rPr>
              <w:t xml:space="preserve">manual_labels/</w:t>
            </w:r>
          </w:p>
        </w:tc>
        <w:tc>
          <w:tcPr>
            <w:tcW w:type="dxa" w:w="2265"/>
          </w:tcPr>
          <w:p>
            <w:pPr>
              <w:pStyle w:val="Compact"/>
              <w:jc w:val="right"/>
            </w:pPr>
            <w:r>
              <w:rPr>
                <w:sz w:val="18"/>
                <w:szCs w:val="18"/>
              </w:rPr>
              <w:t xml:space="preserve">482</w:t>
            </w:r>
          </w:p>
        </w:tc>
        <w:tc>
          <w:tcPr>
            <w:tcW w:type="dxa" w:w="3790"/>
          </w:tcPr>
          <w:p>
            <w:pPr>
              <w:pStyle w:val="Compact"/>
              <w:jc w:val="right"/>
            </w:pPr>
            <w:r>
              <w:rPr>
                <w:sz w:val="18"/>
                <w:szCs w:val="18"/>
              </w:rPr>
              <w:t xml:space="preserve">482</w:t>
            </w:r>
          </w:p>
        </w:tc>
      </w:tr>
      <w:tr>
        <w:trPr>
          <w:cantSplit/>
        </w:trPr>
        <w:tc>
          <w:tcPr>
            <w:tcW w:type="dxa" w:w="3305"/>
          </w:tcPr>
          <w:p>
            <w:pPr>
              <w:pStyle w:val="Compact"/>
              <w:jc w:val="left"/>
            </w:pPr>
            <w:r>
              <w:rPr>
                <w:rStyle w:val="VerbatimChar"/>
                <w:sz w:val="18"/>
                <w:szCs w:val="18"/>
              </w:rPr>
              <w:t xml:space="preserve">automatic_labels/</w:t>
            </w:r>
          </w:p>
        </w:tc>
        <w:tc>
          <w:tcPr>
            <w:tcW w:type="dxa" w:w="2265"/>
          </w:tcPr>
          <w:p>
            <w:pPr>
              <w:pStyle w:val="Compact"/>
              <w:jc w:val="right"/>
            </w:pPr>
            <w:r>
              <w:rPr>
                <w:sz w:val="18"/>
                <w:szCs w:val="18"/>
              </w:rPr>
              <w:t xml:space="preserve">1,756</w:t>
            </w:r>
          </w:p>
        </w:tc>
        <w:tc>
          <w:tcPr>
            <w:tcW w:type="dxa" w:w="3790"/>
          </w:tcPr>
          <w:p>
            <w:pPr>
              <w:pStyle w:val="Compact"/>
              <w:jc w:val="right"/>
            </w:pPr>
            <w:r>
              <w:rPr>
                <w:sz w:val="18"/>
                <w:szCs w:val="18"/>
              </w:rPr>
              <w:t xml:space="preserve">—</w:t>
            </w:r>
          </w:p>
        </w:tc>
      </w:tr>
      <w:tr>
        <w:trPr>
          <w:cantSplit/>
        </w:trPr>
        <w:tc>
          <w:tcPr>
            <w:tcW w:type="dxa" w:w="3305"/>
          </w:tcPr>
          <w:p>
            <w:pPr>
              <w:pStyle w:val="Compact"/>
              <w:jc w:val="left"/>
            </w:pPr>
            <w:r>
              <w:rPr>
                <w:b/>
                <w:sz w:val="18"/>
                <w:szCs w:val="18"/>
              </w:rPr>
              <w:t xml:space="preserve">total</w:t>
            </w:r>
          </w:p>
        </w:tc>
        <w:tc>
          <w:tcPr>
            <w:tcW w:type="dxa" w:w="2265"/>
          </w:tcPr>
          <w:p>
            <w:pPr>
              <w:pStyle w:val="Compact"/>
              <w:jc w:val="right"/>
            </w:pPr>
            <w:r>
              <w:rPr>
                <w:b/>
                <w:sz w:val="18"/>
                <w:szCs w:val="18"/>
              </w:rPr>
              <w:t xml:space="preserve">2,238</w:t>
            </w:r>
          </w:p>
        </w:tc>
        <w:tc>
          <w:tcPr>
            <w:tcW w:type="dxa" w:w="3790"/>
          </w:tcPr>
          <w:p>
            <w:pPr>
              <w:pStyle w:val="Compact"/>
              <w:jc w:val="right"/>
            </w:pPr>
            <w:r>
              <w:rPr>
                <w:b/>
                <w:sz w:val="18"/>
                <w:szCs w:val="18"/>
              </w:rPr>
              <w:t xml:space="preserve">2,238 spreadsheet rows</w:t>
            </w:r>
          </w:p>
        </w:tc>
      </w:tr>
    </w:tbl>
    <w:p>
      <w:pPr>
        <w:pStyle w:val="BodyText"/>
      </w:pPr>
      <w:r>
        <w:t xml:space="preserve">Decomposes exactly: 676 PDAC = 482 manual + 194 automatic; 1,562 non-PDAC all automatic; 194 + 1,562 = 1,756. One label file per case, none missing or duplicated. Filenames are</w:t>
      </w:r>
      <w:r>
        <w:t xml:space="preserve"> </w:t>
      </w:r>
      <w:r>
        <w:rPr>
          <w:rStyle w:val="VerbatimChar"/>
        </w:rPr>
        <w:t xml:space="preserve">PANORAMA_study_id</w:t>
      </w:r>
      <w:r>
        <w:t xml:space="preserve"> </w:t>
      </w:r>
      <w:r>
        <w:t xml:space="preserve">verbatim (</w:t>
      </w:r>
      <w:r>
        <w:rPr>
          <w:rStyle w:val="VerbatimChar"/>
        </w:rPr>
        <w:t xml:space="preserve">100002_00001.nii.gz</w:t>
      </w:r>
      <w:r>
        <w:t xml:space="preserve">), so the exclusion list applies directly to files with no identifier mapping.</w:t>
      </w:r>
    </w:p>
    <w:p>
      <w:pPr>
        <w:pStyle w:val="Heading3"/>
      </w:pPr>
      <w:bookmarkStart w:id="30" w:name="a4.4-label-legend-read-from-a-mask"/>
      <w:r>
        <w:t xml:space="preserve">A4.4 Label legend, read from a mask</w:t>
      </w:r>
      <w:bookmarkEnd w:id="30"/>
    </w:p>
    <w:p>
      <w:pPr>
        <w:pStyle w:val="FirstParagraph"/>
      </w:pPr>
      <w:r>
        <w:rPr>
          <w:rStyle w:val="VerbatimChar"/>
        </w:rPr>
        <w:t xml:space="preserve">manual_labels/100002_00001.nii.gz</w:t>
      </w:r>
      <w:r>
        <w:t xml:space="preserve"> </w:t>
      </w:r>
      <w:r>
        <w:t xml:space="preserve">— shape 512 × 512 × 561, spacing 0.709 × 0.709 × 1.0 mm.</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2105"/>
        <w:gridCol w:w="4148"/>
        <w:gridCol w:w="3107"/>
      </w:tblGrid>
      <w:tr>
        <w:trPr>
          <w:cnfStyle w:firstRow="1"/>
          <w:cantSplit/>
          <w:tblHeader/>
        </w:trPr>
        <w:tc>
          <w:tcPr>
            <w:tcW w:type="dxa" w:w="2105"/>
            <w:tcBorders>
              <w:bottom w:val="single"/>
            </w:tcBorders>
            <w:vAlign w:val="bottom"/>
          </w:tcPr>
          <w:p>
            <w:pPr>
              <w:pStyle w:val="Compact"/>
              <w:jc w:val="right"/>
            </w:pPr>
            <w:r>
              <w:rPr>
                <w:sz w:val="18"/>
                <w:szCs w:val="18"/>
              </w:rPr>
              <w:t xml:space="preserve">value</w:t>
            </w:r>
          </w:p>
        </w:tc>
        <w:tc>
          <w:tcPr>
            <w:tcW w:type="dxa" w:w="4148"/>
            <w:tcBorders>
              <w:bottom w:val="single"/>
            </w:tcBorders>
            <w:vAlign w:val="bottom"/>
          </w:tcPr>
          <w:p>
            <w:pPr>
              <w:pStyle w:val="Compact"/>
              <w:jc w:val="left"/>
            </w:pPr>
            <w:r>
              <w:rPr>
                <w:sz w:val="18"/>
                <w:szCs w:val="18"/>
              </w:rPr>
              <w:t xml:space="preserve">structure</w:t>
            </w:r>
          </w:p>
        </w:tc>
        <w:tc>
          <w:tcPr>
            <w:tcW w:type="dxa" w:w="3107"/>
            <w:tcBorders>
              <w:bottom w:val="single"/>
            </w:tcBorders>
            <w:vAlign w:val="bottom"/>
          </w:tcPr>
          <w:p>
            <w:pPr>
              <w:pStyle w:val="Compact"/>
              <w:jc w:val="right"/>
            </w:pPr>
            <w:r>
              <w:rPr>
                <w:sz w:val="18"/>
                <w:szCs w:val="18"/>
              </w:rPr>
              <w:t xml:space="preserve">voxels</w:t>
            </w:r>
          </w:p>
        </w:tc>
      </w:tr>
      <w:tr>
        <w:trPr>
          <w:cantSplit/>
        </w:trPr>
        <w:tc>
          <w:tcPr>
            <w:tcW w:type="dxa" w:w="2105"/>
          </w:tcPr>
          <w:p>
            <w:pPr>
              <w:pStyle w:val="Compact"/>
              <w:jc w:val="right"/>
            </w:pPr>
            <w:r>
              <w:rPr>
                <w:sz w:val="18"/>
                <w:szCs w:val="18"/>
              </w:rPr>
              <w:t xml:space="preserve">0</w:t>
            </w:r>
          </w:p>
        </w:tc>
        <w:tc>
          <w:tcPr>
            <w:tcW w:type="dxa" w:w="4148"/>
          </w:tcPr>
          <w:p>
            <w:pPr>
              <w:pStyle w:val="Compact"/>
              <w:jc w:val="left"/>
            </w:pPr>
            <w:r>
              <w:rPr>
                <w:sz w:val="18"/>
                <w:szCs w:val="18"/>
              </w:rPr>
              <w:t xml:space="preserve">background</w:t>
            </w:r>
          </w:p>
        </w:tc>
        <w:tc>
          <w:tcPr>
            <w:tcW w:type="dxa" w:w="3107"/>
          </w:tcPr>
          <w:p>
            <w:pPr>
              <w:pStyle w:val="Compact"/>
              <w:jc w:val="right"/>
            </w:pPr>
            <w:r>
              <w:rPr>
                <w:sz w:val="18"/>
                <w:szCs w:val="18"/>
              </w:rPr>
              <w:t xml:space="preserve">146,625,501</w:t>
            </w:r>
          </w:p>
        </w:tc>
      </w:tr>
      <w:tr>
        <w:trPr>
          <w:cantSplit/>
        </w:trPr>
        <w:tc>
          <w:tcPr>
            <w:tcW w:type="dxa" w:w="2105"/>
          </w:tcPr>
          <w:p>
            <w:pPr>
              <w:pStyle w:val="Compact"/>
              <w:jc w:val="right"/>
            </w:pPr>
            <w:r>
              <w:rPr>
                <w:sz w:val="18"/>
                <w:szCs w:val="18"/>
              </w:rPr>
              <w:t xml:space="preserve">1</w:t>
            </w:r>
          </w:p>
        </w:tc>
        <w:tc>
          <w:tcPr>
            <w:tcW w:type="dxa" w:w="4148"/>
          </w:tcPr>
          <w:p>
            <w:pPr>
              <w:pStyle w:val="Compact"/>
              <w:jc w:val="left"/>
            </w:pPr>
            <w:r>
              <w:rPr>
                <w:sz w:val="18"/>
                <w:szCs w:val="18"/>
              </w:rPr>
              <w:t xml:space="preserve">PDAC lesion</w:t>
            </w:r>
          </w:p>
        </w:tc>
        <w:tc>
          <w:tcPr>
            <w:tcW w:type="dxa" w:w="3107"/>
          </w:tcPr>
          <w:p>
            <w:pPr>
              <w:pStyle w:val="Compact"/>
              <w:jc w:val="right"/>
            </w:pPr>
            <w:r>
              <w:rPr>
                <w:sz w:val="18"/>
                <w:szCs w:val="18"/>
              </w:rPr>
              <w:t xml:space="preserve">37,468</w:t>
            </w:r>
          </w:p>
        </w:tc>
      </w:tr>
      <w:tr>
        <w:trPr>
          <w:cantSplit/>
        </w:trPr>
        <w:tc>
          <w:tcPr>
            <w:tcW w:type="dxa" w:w="2105"/>
          </w:tcPr>
          <w:p>
            <w:pPr>
              <w:pStyle w:val="Compact"/>
              <w:jc w:val="right"/>
            </w:pPr>
            <w:r>
              <w:rPr>
                <w:sz w:val="18"/>
                <w:szCs w:val="18"/>
              </w:rPr>
              <w:t xml:space="preserve">2</w:t>
            </w:r>
          </w:p>
        </w:tc>
        <w:tc>
          <w:tcPr>
            <w:tcW w:type="dxa" w:w="4148"/>
          </w:tcPr>
          <w:p>
            <w:pPr>
              <w:pStyle w:val="Compact"/>
              <w:jc w:val="left"/>
            </w:pPr>
            <w:r>
              <w:rPr>
                <w:sz w:val="18"/>
                <w:szCs w:val="18"/>
              </w:rPr>
              <w:t xml:space="preserve">veins</w:t>
            </w:r>
          </w:p>
        </w:tc>
        <w:tc>
          <w:tcPr>
            <w:tcW w:type="dxa" w:w="3107"/>
          </w:tcPr>
          <w:p>
            <w:pPr>
              <w:pStyle w:val="Compact"/>
              <w:jc w:val="right"/>
            </w:pPr>
            <w:r>
              <w:rPr>
                <w:sz w:val="18"/>
                <w:szCs w:val="18"/>
              </w:rPr>
              <w:t xml:space="preserve">68,763</w:t>
            </w:r>
          </w:p>
        </w:tc>
      </w:tr>
      <w:tr>
        <w:trPr>
          <w:cantSplit/>
        </w:trPr>
        <w:tc>
          <w:tcPr>
            <w:tcW w:type="dxa" w:w="2105"/>
          </w:tcPr>
          <w:p>
            <w:pPr>
              <w:pStyle w:val="Compact"/>
              <w:jc w:val="right"/>
            </w:pPr>
            <w:r>
              <w:rPr>
                <w:sz w:val="18"/>
                <w:szCs w:val="18"/>
              </w:rPr>
              <w:t xml:space="preserve">3</w:t>
            </w:r>
          </w:p>
        </w:tc>
        <w:tc>
          <w:tcPr>
            <w:tcW w:type="dxa" w:w="4148"/>
          </w:tcPr>
          <w:p>
            <w:pPr>
              <w:pStyle w:val="Compact"/>
              <w:jc w:val="left"/>
            </w:pPr>
            <w:r>
              <w:rPr>
                <w:sz w:val="18"/>
                <w:szCs w:val="18"/>
              </w:rPr>
              <w:t xml:space="preserve">arteries</w:t>
            </w:r>
          </w:p>
        </w:tc>
        <w:tc>
          <w:tcPr>
            <w:tcW w:type="dxa" w:w="3107"/>
          </w:tcPr>
          <w:p>
            <w:pPr>
              <w:pStyle w:val="Compact"/>
              <w:jc w:val="right"/>
            </w:pPr>
            <w:r>
              <w:rPr>
                <w:sz w:val="18"/>
                <w:szCs w:val="18"/>
              </w:rPr>
              <w:t xml:space="preserve">88,123</w:t>
            </w:r>
          </w:p>
        </w:tc>
      </w:tr>
      <w:tr>
        <w:trPr>
          <w:cantSplit/>
        </w:trPr>
        <w:tc>
          <w:tcPr>
            <w:tcW w:type="dxa" w:w="2105"/>
          </w:tcPr>
          <w:p>
            <w:pPr>
              <w:pStyle w:val="Compact"/>
              <w:jc w:val="right"/>
            </w:pPr>
            <w:r>
              <w:rPr>
                <w:sz w:val="18"/>
                <w:szCs w:val="18"/>
              </w:rPr>
              <w:t xml:space="preserve">4</w:t>
            </w:r>
          </w:p>
        </w:tc>
        <w:tc>
          <w:tcPr>
            <w:tcW w:type="dxa" w:w="4148"/>
          </w:tcPr>
          <w:p>
            <w:pPr>
              <w:pStyle w:val="Compact"/>
              <w:jc w:val="left"/>
            </w:pPr>
            <w:r>
              <w:rPr>
                <w:sz w:val="18"/>
                <w:szCs w:val="18"/>
              </w:rPr>
              <w:t xml:space="preserve">pancreas parenchyma</w:t>
            </w:r>
          </w:p>
        </w:tc>
        <w:tc>
          <w:tcPr>
            <w:tcW w:type="dxa" w:w="3107"/>
          </w:tcPr>
          <w:p>
            <w:pPr>
              <w:pStyle w:val="Compact"/>
              <w:jc w:val="right"/>
            </w:pPr>
            <w:r>
              <w:rPr>
                <w:sz w:val="18"/>
                <w:szCs w:val="18"/>
              </w:rPr>
              <w:t xml:space="preserve">164,928</w:t>
            </w:r>
          </w:p>
        </w:tc>
      </w:tr>
      <w:tr>
        <w:trPr>
          <w:cantSplit/>
        </w:trPr>
        <w:tc>
          <w:tcPr>
            <w:tcW w:type="dxa" w:w="2105"/>
          </w:tcPr>
          <w:p>
            <w:pPr>
              <w:pStyle w:val="Compact"/>
              <w:jc w:val="right"/>
            </w:pPr>
            <w:r>
              <w:rPr>
                <w:sz w:val="18"/>
                <w:szCs w:val="18"/>
              </w:rPr>
              <w:t xml:space="preserve">5</w:t>
            </w:r>
          </w:p>
        </w:tc>
        <w:tc>
          <w:tcPr>
            <w:tcW w:type="dxa" w:w="4148"/>
          </w:tcPr>
          <w:p>
            <w:pPr>
              <w:pStyle w:val="Compact"/>
              <w:jc w:val="left"/>
            </w:pPr>
            <w:r>
              <w:rPr>
                <w:sz w:val="18"/>
                <w:szCs w:val="18"/>
              </w:rPr>
              <w:t xml:space="preserve">pancreatic duct</w:t>
            </w:r>
          </w:p>
        </w:tc>
        <w:tc>
          <w:tcPr>
            <w:tcW w:type="dxa" w:w="3107"/>
          </w:tcPr>
          <w:p>
            <w:pPr>
              <w:pStyle w:val="Compact"/>
              <w:jc w:val="right"/>
            </w:pPr>
            <w:r>
              <w:rPr>
                <w:sz w:val="18"/>
                <w:szCs w:val="18"/>
              </w:rPr>
              <w:t xml:space="preserve">32,464</w:t>
            </w:r>
          </w:p>
        </w:tc>
      </w:tr>
      <w:tr>
        <w:trPr>
          <w:cantSplit/>
        </w:trPr>
        <w:tc>
          <w:tcPr>
            <w:tcW w:type="dxa" w:w="2105"/>
          </w:tcPr>
          <w:p>
            <w:pPr>
              <w:pStyle w:val="Compact"/>
              <w:jc w:val="right"/>
            </w:pPr>
            <w:r>
              <w:rPr>
                <w:sz w:val="18"/>
                <w:szCs w:val="18"/>
              </w:rPr>
              <w:t xml:space="preserve">6</w:t>
            </w:r>
          </w:p>
        </w:tc>
        <w:tc>
          <w:tcPr>
            <w:tcW w:type="dxa" w:w="4148"/>
          </w:tcPr>
          <w:p>
            <w:pPr>
              <w:pStyle w:val="Compact"/>
              <w:jc w:val="left"/>
            </w:pPr>
            <w:r>
              <w:rPr>
                <w:sz w:val="18"/>
                <w:szCs w:val="18"/>
              </w:rPr>
              <w:t xml:space="preserve">common bile duct</w:t>
            </w:r>
          </w:p>
        </w:tc>
        <w:tc>
          <w:tcPr>
            <w:tcW w:type="dxa" w:w="3107"/>
          </w:tcPr>
          <w:p>
            <w:pPr>
              <w:pStyle w:val="Compact"/>
              <w:jc w:val="right"/>
            </w:pPr>
            <w:r>
              <w:rPr>
                <w:sz w:val="18"/>
                <w:szCs w:val="18"/>
              </w:rPr>
              <w:t xml:space="preserve">45,537</w:t>
            </w:r>
          </w:p>
        </w:tc>
      </w:tr>
    </w:tbl>
    <w:p>
      <w:pPr>
        <w:pStyle w:val="BodyText"/>
      </w:pPr>
      <w:r>
        <w:t xml:space="preserve">All seven documented values present. The remap is verified against data rather than a README. Note the geometry: finer in-plane than the PanTS median with a long z-extent, so resampling to 1.5 mm changes PANORAMA volumes more than it changes PanTS volumes.</w:t>
      </w:r>
    </w:p>
    <w:p>
      <w:pPr>
        <w:pStyle w:val="Heading3"/>
      </w:pPr>
      <w:bookmarkStart w:id="31" w:name="X6caf9ecd4c35cda4e569560470ff0c1ab3152f6"/>
      <w:r>
        <w:t xml:space="preserve">A4.5 Annotation quality after exclusion — a corrected estimate</w:t>
      </w:r>
      <w:bookmarkEnd w:id="31"/>
    </w:p>
    <w:p>
      <w:pPr>
        <w:pStyle w:val="FirstParagraph"/>
      </w:pPr>
      <w:r>
        <w:t xml:space="preserve">An earlier estimate of 482 expert-annotated tumors was wrong.</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6897"/>
        <w:gridCol w:w="2463"/>
      </w:tblGrid>
      <w:tr>
        <w:trPr>
          <w:cnfStyle w:firstRow="1"/>
          <w:cantSplit/>
          <w:tblHeader/>
        </w:trPr>
        <w:tc>
          <w:tcPr>
            <w:tcW w:type="dxa" w:w="6897"/>
            <w:tcBorders>
              <w:bottom w:val="single"/>
            </w:tcBorders>
            <w:vAlign w:val="bottom"/>
          </w:tcPr>
          <w:p>
            <w:pPr>
              <w:pStyle w:val="Compact"/>
              <w:jc w:val="left"/>
            </w:pPr>
            <w:r>
              <w:rPr>
                <w:sz w:val="18"/>
                <w:szCs w:val="18"/>
              </w:rPr>
              <w:t xml:space="preserve">tumor annotation</w:t>
            </w:r>
          </w:p>
        </w:tc>
        <w:tc>
          <w:tcPr>
            <w:tcW w:type="dxa" w:w="2463"/>
            <w:tcBorders>
              <w:bottom w:val="single"/>
            </w:tcBorders>
            <w:vAlign w:val="bottom"/>
          </w:tcPr>
          <w:p>
            <w:pPr>
              <w:pStyle w:val="Compact"/>
              <w:jc w:val="right"/>
            </w:pPr>
            <w:r>
              <w:rPr>
                <w:sz w:val="18"/>
                <w:szCs w:val="18"/>
              </w:rPr>
              <w:t xml:space="preserve">cases</w:t>
            </w:r>
          </w:p>
        </w:tc>
      </w:tr>
      <w:tr>
        <w:trPr>
          <w:cantSplit/>
        </w:trPr>
        <w:tc>
          <w:tcPr>
            <w:tcW w:type="dxa" w:w="6897"/>
          </w:tcPr>
          <w:p>
            <w:pPr>
              <w:pStyle w:val="Compact"/>
              <w:jc w:val="left"/>
            </w:pPr>
            <w:r>
              <w:rPr>
                <w:sz w:val="18"/>
                <w:szCs w:val="18"/>
              </w:rPr>
              <w:t xml:space="preserve">usable tumor cases after exclusion</w:t>
            </w:r>
          </w:p>
        </w:tc>
        <w:tc>
          <w:tcPr>
            <w:tcW w:type="dxa" w:w="2463"/>
          </w:tcPr>
          <w:p>
            <w:pPr>
              <w:pStyle w:val="Compact"/>
              <w:jc w:val="right"/>
            </w:pPr>
            <w:r>
              <w:rPr>
                <w:sz w:val="18"/>
                <w:szCs w:val="18"/>
              </w:rPr>
              <w:t xml:space="preserve">578</w:t>
            </w:r>
          </w:p>
        </w:tc>
      </w:tr>
      <w:tr>
        <w:trPr>
          <w:cantSplit/>
        </w:trPr>
        <w:tc>
          <w:tcPr>
            <w:tcW w:type="dxa" w:w="6897"/>
          </w:tcPr>
          <w:p>
            <w:pPr>
              <w:pStyle w:val="Compact"/>
              <w:jc w:val="left"/>
            </w:pPr>
            <w:r>
              <w:rPr>
                <w:b/>
                <w:sz w:val="18"/>
                <w:szCs w:val="18"/>
              </w:rPr>
              <w:t xml:space="preserve">with expert manual delineation</w:t>
            </w:r>
          </w:p>
        </w:tc>
        <w:tc>
          <w:tcPr>
            <w:tcW w:type="dxa" w:w="2463"/>
          </w:tcPr>
          <w:p>
            <w:pPr>
              <w:pStyle w:val="Compact"/>
              <w:jc w:val="right"/>
            </w:pPr>
            <w:r>
              <w:rPr>
                <w:b/>
                <w:sz w:val="18"/>
                <w:szCs w:val="18"/>
              </w:rPr>
              <w:t xml:space="preserve">382</w:t>
            </w:r>
          </w:p>
        </w:tc>
      </w:tr>
      <w:tr>
        <w:trPr>
          <w:cantSplit/>
        </w:trPr>
        <w:tc>
          <w:tcPr>
            <w:tcW w:type="dxa" w:w="6897"/>
          </w:tcPr>
          <w:p>
            <w:pPr>
              <w:pStyle w:val="Compact"/>
              <w:jc w:val="left"/>
            </w:pPr>
            <w:r>
              <w:rPr>
                <w:sz w:val="18"/>
                <w:szCs w:val="18"/>
              </w:rPr>
              <w:t xml:space="preserve">with machine-generated masks</w:t>
            </w:r>
          </w:p>
        </w:tc>
        <w:tc>
          <w:tcPr>
            <w:tcW w:type="dxa" w:w="2463"/>
          </w:tcPr>
          <w:p>
            <w:pPr>
              <w:pStyle w:val="Compact"/>
              <w:jc w:val="right"/>
            </w:pPr>
            <w:r>
              <w:rPr>
                <w:sz w:val="18"/>
                <w:szCs w:val="18"/>
              </w:rPr>
              <w:t xml:space="preserve">196</w:t>
            </w:r>
          </w:p>
        </w:tc>
      </w:tr>
    </w:tbl>
    <w:p>
      <w:pPr>
        <w:pStyle w:val="BodyText"/>
      </w:pPr>
      <w:r>
        <w:rPr>
          <w:b/>
        </w:rPr>
        <w:t xml:space="preserve">Cause:</w:t>
      </w:r>
      <w:r>
        <w:t xml:space="preserve"> </w:t>
      </w:r>
      <w:r>
        <w:t xml:space="preserve">97 of the 98 Decathlon tumor cases carry</w:t>
      </w:r>
      <w:r>
        <w:t xml:space="preserve"> </w:t>
      </w:r>
      <w:r>
        <w:rPr>
          <w:i/>
        </w:rPr>
        <w:t xml:space="preserve">manual</w:t>
      </w:r>
      <w:r>
        <w:t xml:space="preserve"> </w:t>
      </w:r>
      <w:r>
        <w:t xml:space="preserve">masks — PANORAMA re-delineated them rather than inheriting the original labels. The excluded cases are therefore disproportionately the best-annotated ones, and the exclusion costs 97 gold-standard tumors.</w:t>
      </w:r>
    </w:p>
    <w:p>
      <w:pPr>
        <w:pStyle w:val="BodyText"/>
      </w:pPr>
      <w:r>
        <w:t xml:space="preserve">Manual masks by source, all 482: MSD 97 · histopathology 171 · pathology 109 · cytology 85 · radiology 20 · NIH 0.</w:t>
      </w:r>
    </w:p>
    <w:p>
      <w:pPr>
        <w:pStyle w:val="BodyText"/>
      </w:pPr>
      <w:r>
        <w:rPr>
          <w:b/>
        </w:rPr>
        <w:t xml:space="preserve">Revised lever size:</w:t>
      </w:r>
      <w:r>
        <w:t xml:space="preserve"> </w:t>
      </w:r>
      <w:r>
        <w:t xml:space="preserve">706 current tumors → 1,088 with the expert subset, a 54% increase rather than the 82% the raw 578 figure implies. Still the largest single lever and still the only route to more tumors.</w:t>
      </w:r>
    </w:p>
    <w:p>
      <w:pPr>
        <w:pStyle w:val="BodyText"/>
      </w:pPr>
      <w:r>
        <w:rPr>
          <w:b/>
        </w:rPr>
        <w:t xml:space="preserve">A shortcut refused.</w:t>
      </w:r>
      <w:r>
        <w:t xml:space="preserve"> </w:t>
      </w:r>
      <w:r>
        <w:t xml:space="preserve">Keeping the Decathlon cases would recover those 97 expert tumors, and PANORAMA’s masks are better than the originals. But those scans sit in the PanTS validation split (198 MSKCC cases) and the official test split (195). Training on them would contaminate our own evaluation — the same trade that produced the withdrawn 0.528.</w:t>
      </w:r>
    </w:p>
    <w:p>
      <w:pPr>
        <w:pStyle w:val="Heading3"/>
      </w:pPr>
      <w:bookmarkStart w:id="32" w:name="a4.6-cohort-profile-and-residual-risk"/>
      <w:r>
        <w:t xml:space="preserve">A4.6 Cohort profile and residual risk</w:t>
      </w:r>
      <w:bookmarkEnd w:id="32"/>
    </w:p>
    <w:p>
      <w:pPr>
        <w:pStyle w:val="FirstParagraph"/>
      </w:pPr>
      <w:r>
        <w:t xml:space="preserve">746 of 1,964 usable cases (38%) have tissue confirmation — histopathology, pathology, or cytology. Age median 67, range 18–99, zero missing. Sex 1,064 M / 900 F. Scanners: Siemens 938, Toshiba 651, Philips 319, GE 46, Canon 7 — the same four manufacturers already present in PanTS.</w:t>
      </w:r>
    </w:p>
    <w:p>
      <w:pPr>
        <w:pStyle w:val="BodyText"/>
      </w:pPr>
      <w:r>
        <w:rPr>
          <w:b/>
        </w:rPr>
        <w:t xml:space="preserve">Residual risk, disclosed.</w:t>
      </w:r>
      <w:r>
        <w:t xml:space="preserve"> </w:t>
      </w:r>
      <w:r>
        <w:t xml:space="preserve">The</w:t>
      </w:r>
      <w:r>
        <w:t xml:space="preserve"> </w:t>
      </w:r>
      <w:r>
        <w:rPr>
          <w:rStyle w:val="VerbatimChar"/>
        </w:rPr>
        <w:t xml:space="preserve">level</w:t>
      </w:r>
      <w:r>
        <w:t xml:space="preserve"> </w:t>
      </w:r>
      <w:r>
        <w:t xml:space="preserve">column resolves declared imports. It cannot rule out undeclared duplicates — notably the 533 PanTS records carrying</w:t>
      </w:r>
      <w:r>
        <w:t xml:space="preserve"> </w:t>
      </w:r>
      <w:r>
        <w:t xml:space="preserve">“</w:t>
      </w:r>
      <w:r>
        <w:t xml:space="preserve">Radboud</w:t>
      </w:r>
      <w:r>
        <w:t xml:space="preserve">”</w:t>
      </w:r>
      <w:r>
        <w:t xml:space="preserve"> </w:t>
      </w:r>
      <w:r>
        <w:t xml:space="preserve">inside a pooled multi-institution provenance string. The pixel-level detector, with recall measured on planted duplicates, is the control for that.</w:t>
      </w:r>
    </w:p>
    <w:p>
      <w:pPr>
        <w:pStyle w:val="BodyText"/>
      </w:pPr>
      <w:r>
        <w:rPr>
          <w:b/>
        </w:rPr>
        <w:t xml:space="preserve">Minor anomalies.</w:t>
      </w:r>
      <w:r>
        <w:t xml:space="preserve"> </w:t>
      </w:r>
      <w:r>
        <w:t xml:space="preserve">Three non-PDAC cases carry manual masks though the README says manual delineation was tumor-only. One of the 98 Decathlon tumor cases has no manual mask.</w:t>
      </w:r>
    </w:p>
    <w:p>
      <w:pPr>
        <w:pStyle w:val="Heading3"/>
      </w:pPr>
      <w:bookmarkStart w:id="33" w:name="a4.7-integration-challenges"/>
      <w:r>
        <w:t xml:space="preserve">A4.7 Integration challenges</w:t>
      </w:r>
      <w:bookmarkEnd w:id="33"/>
    </w:p>
    <w:p>
      <w:pPr>
        <w:pStyle w:val="FirstParagraph"/>
      </w:pPr>
      <w:r>
        <w:t xml:space="preserve">Merging the two datasets introduces differences that remapping alone cannot resolve. Each is named here with the response it gets.</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5274"/>
        <w:gridCol w:w="4086"/>
      </w:tblGrid>
      <w:tr>
        <w:trPr>
          <w:cnfStyle w:firstRow="1"/>
          <w:cantSplit/>
          <w:tblHeader/>
        </w:trPr>
        <w:tc>
          <w:tcPr>
            <w:tcW w:type="dxa" w:w="5274"/>
            <w:tcBorders>
              <w:bottom w:val="single"/>
            </w:tcBorders>
            <w:vAlign w:val="bottom"/>
          </w:tcPr>
          <w:p>
            <w:pPr>
              <w:pStyle w:val="Compact"/>
              <w:jc w:val="left"/>
            </w:pPr>
            <w:r>
              <w:rPr>
                <w:sz w:val="18"/>
                <w:szCs w:val="18"/>
              </w:rPr>
              <w:t xml:space="preserve">challenge</w:t>
            </w:r>
          </w:p>
        </w:tc>
        <w:tc>
          <w:tcPr>
            <w:tcW w:type="dxa" w:w="4086"/>
            <w:tcBorders>
              <w:bottom w:val="single"/>
            </w:tcBorders>
            <w:vAlign w:val="bottom"/>
          </w:tcPr>
          <w:p>
            <w:pPr>
              <w:pStyle w:val="Compact"/>
              <w:jc w:val="left"/>
            </w:pPr>
            <w:r>
              <w:rPr>
                <w:sz w:val="18"/>
                <w:szCs w:val="18"/>
              </w:rPr>
              <w:t xml:space="preserve">response</w:t>
            </w:r>
          </w:p>
        </w:tc>
      </w:tr>
      <w:tr>
        <w:trPr>
          <w:cantSplit/>
        </w:trPr>
        <w:tc>
          <w:tcPr>
            <w:tcW w:type="dxa" w:w="5274"/>
          </w:tcPr>
          <w:p>
            <w:pPr>
              <w:pStyle w:val="Compact"/>
              <w:jc w:val="left"/>
            </w:pPr>
            <w:r>
              <w:rPr>
                <w:sz w:val="18"/>
                <w:szCs w:val="18"/>
              </w:rPr>
              <w:t xml:space="preserve">PANORAMA’s pancreas masks are machine-generated throughout; PanTS masks are expert-validated. The whole-box recipe crops to the pancreas, so those cases would be cropped to a silver-standard mask.</w:t>
            </w:r>
          </w:p>
        </w:tc>
        <w:tc>
          <w:tcPr>
            <w:tcW w:type="dxa" w:w="4086"/>
          </w:tcPr>
          <w:p>
            <w:pPr>
              <w:pStyle w:val="Compact"/>
              <w:jc w:val="left"/>
            </w:pPr>
            <w:r>
              <w:rPr>
                <w:sz w:val="18"/>
                <w:szCs w:val="18"/>
              </w:rPr>
              <w:t xml:space="preserve">Provenance stored per structure; pancreas Dice reported separately by source.</w:t>
            </w:r>
          </w:p>
        </w:tc>
      </w:tr>
      <w:tr>
        <w:trPr>
          <w:cantSplit/>
        </w:trPr>
        <w:tc>
          <w:tcPr>
            <w:tcW w:type="dxa" w:w="5274"/>
          </w:tcPr>
          <w:p>
            <w:pPr>
              <w:pStyle w:val="Compact"/>
              <w:jc w:val="left"/>
            </w:pPr>
            <w:r>
              <w:rPr>
                <w:sz w:val="18"/>
                <w:szCs w:val="18"/>
              </w:rPr>
              <w:t xml:space="preserve">Lesion quality is mixed — 382 of 578 usable tumors carry expert delineations — and every PANORAMA tumor is PDAC, while PanTS also covers IPMN and neuroendocrine tumors.</w:t>
            </w:r>
          </w:p>
        </w:tc>
        <w:tc>
          <w:tcPr>
            <w:tcW w:type="dxa" w:w="4086"/>
          </w:tcPr>
          <w:p>
            <w:pPr>
              <w:pStyle w:val="Compact"/>
              <w:jc w:val="left"/>
            </w:pPr>
            <w:r>
              <w:rPr>
                <w:sz w:val="18"/>
                <w:szCs w:val="18"/>
              </w:rPr>
              <w:t xml:space="preserve">Train on the expert subset first, machine-annotated cases as a labeled ablation; report per-type performance where metadata permits.</w:t>
            </w:r>
          </w:p>
        </w:tc>
      </w:tr>
      <w:tr>
        <w:trPr>
          <w:cantSplit/>
        </w:trPr>
        <w:tc>
          <w:tcPr>
            <w:tcW w:type="dxa" w:w="5274"/>
          </w:tcPr>
          <w:p>
            <w:pPr>
              <w:pStyle w:val="Compact"/>
              <w:jc w:val="left"/>
            </w:pPr>
            <w:r>
              <w:rPr>
                <w:sz w:val="18"/>
                <w:szCs w:val="18"/>
              </w:rPr>
              <w:t xml:space="preserve">Portal-venous phase only. A prior experiment showed contrast phase is the strongest driver of this model’s behavior — non-contrast training gave 90% specificity against 10% for portal-venous.</w:t>
            </w:r>
          </w:p>
        </w:tc>
        <w:tc>
          <w:tcPr>
            <w:tcW w:type="dxa" w:w="4086"/>
          </w:tcPr>
          <w:p>
            <w:pPr>
              <w:pStyle w:val="Compact"/>
              <w:jc w:val="left"/>
            </w:pPr>
            <w:r>
              <w:rPr>
                <w:sz w:val="18"/>
                <w:szCs w:val="18"/>
              </w:rPr>
              <w:t xml:space="preserve">Pre-register the prediction that specificity falls, so observing it is confirmation rather than rationalization.</w:t>
            </w:r>
          </w:p>
        </w:tc>
      </w:tr>
      <w:tr>
        <w:trPr>
          <w:cantSplit/>
        </w:trPr>
        <w:tc>
          <w:tcPr>
            <w:tcW w:type="dxa" w:w="5274"/>
          </w:tcPr>
          <w:p>
            <w:pPr>
              <w:pStyle w:val="Compact"/>
              <w:jc w:val="left"/>
            </w:pPr>
            <w:r>
              <w:rPr>
                <w:sz w:val="18"/>
                <w:szCs w:val="18"/>
              </w:rPr>
              <w:t xml:space="preserve">The negative class differs — PANORAMA negatives are histopathology or three-year follow-up, PanTS negatives are cases with no lesion mask — and label values are incompatible (PANORAMA 1 = PDAC, 4 = parenchyma).</w:t>
            </w:r>
          </w:p>
        </w:tc>
        <w:tc>
          <w:tcPr>
            <w:tcW w:type="dxa" w:w="4086"/>
          </w:tcPr>
          <w:p>
            <w:pPr>
              <w:pStyle w:val="Compact"/>
              <w:jc w:val="left"/>
            </w:pPr>
            <w:r>
              <w:rPr>
                <w:sz w:val="18"/>
                <w:szCs w:val="18"/>
              </w:rPr>
              <w:t xml:space="preserve">Reference standard carried as a column and reported separately; config-driven remap behind unit tests, verified against real masks.</w:t>
            </w:r>
          </w:p>
        </w:tc>
      </w:tr>
    </w:tbl>
    <w:p>
      <w:pPr>
        <w:pStyle w:val="Heading2"/>
      </w:pPr>
      <w:bookmarkStart w:id="34" w:name="a5.-storage-tiers-and-compute"/>
      <w:r>
        <w:t xml:space="preserve">A5. Storage tiers and compute</w:t>
      </w:r>
      <w:bookmarkEnd w:id="34"/>
    </w:p>
    <w:p>
      <w:pPr>
        <w:pStyle w:val="FirstParagraph"/>
      </w:pPr>
      <w:r>
        <w:t xml:space="preserve">Measured across all 9,901 PanTS scans: 297.5 billion voxels.</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1094"/>
        <w:gridCol w:w="2700"/>
        <w:gridCol w:w="2506"/>
        <w:gridCol w:w="3060"/>
      </w:tblGrid>
      <w:tr>
        <w:trPr>
          <w:cnfStyle w:firstRow="1"/>
          <w:cantSplit/>
          <w:tblHeader/>
        </w:trPr>
        <w:tc>
          <w:tcPr>
            <w:tcW w:type="dxa" w:w="1094"/>
            <w:tcBorders>
              <w:bottom w:val="single"/>
            </w:tcBorders>
            <w:vAlign w:val="bottom"/>
          </w:tcPr>
          <w:p>
            <w:pPr>
              <w:pStyle w:val="Compact"/>
              <w:jc w:val="left"/>
            </w:pPr>
            <w:r>
              <w:rPr>
                <w:sz w:val="18"/>
                <w:szCs w:val="18"/>
              </w:rPr>
              <w:t xml:space="preserve">tier</w:t>
            </w:r>
          </w:p>
        </w:tc>
        <w:tc>
          <w:tcPr>
            <w:tcW w:type="dxa" w:w="2700"/>
            <w:tcBorders>
              <w:bottom w:val="single"/>
            </w:tcBorders>
            <w:vAlign w:val="bottom"/>
          </w:tcPr>
          <w:p>
            <w:pPr>
              <w:pStyle w:val="Compact"/>
              <w:jc w:val="left"/>
            </w:pPr>
            <w:r>
              <w:rPr>
                <w:sz w:val="18"/>
                <w:szCs w:val="18"/>
              </w:rPr>
              <w:t xml:space="preserve">contents</w:t>
            </w:r>
          </w:p>
        </w:tc>
        <w:tc>
          <w:tcPr>
            <w:tcW w:type="dxa" w:w="2506"/>
            <w:tcBorders>
              <w:bottom w:val="single"/>
            </w:tcBorders>
            <w:vAlign w:val="bottom"/>
          </w:tcPr>
          <w:p>
            <w:pPr>
              <w:pStyle w:val="Compact"/>
              <w:jc w:val="right"/>
            </w:pPr>
            <w:r>
              <w:rPr>
                <w:sz w:val="18"/>
                <w:szCs w:val="18"/>
              </w:rPr>
              <w:t xml:space="preserve">size</w:t>
            </w:r>
          </w:p>
        </w:tc>
        <w:tc>
          <w:tcPr>
            <w:tcW w:type="dxa" w:w="3060"/>
            <w:tcBorders>
              <w:bottom w:val="single"/>
            </w:tcBorders>
            <w:vAlign w:val="bottom"/>
          </w:tcPr>
          <w:p>
            <w:pPr>
              <w:pStyle w:val="Compact"/>
              <w:jc w:val="left"/>
            </w:pPr>
            <w:r>
              <w:rPr>
                <w:sz w:val="18"/>
                <w:szCs w:val="18"/>
              </w:rPr>
              <w:t xml:space="preserve">location</w:t>
            </w:r>
          </w:p>
        </w:tc>
      </w:tr>
      <w:tr>
        <w:trPr>
          <w:cantSplit/>
        </w:trPr>
        <w:tc>
          <w:tcPr>
            <w:tcW w:type="dxa" w:w="1094"/>
          </w:tcPr>
          <w:p>
            <w:pPr>
              <w:pStyle w:val="Compact"/>
              <w:jc w:val="left"/>
            </w:pPr>
            <w:r>
              <w:rPr>
                <w:sz w:val="18"/>
                <w:szCs w:val="18"/>
              </w:rPr>
              <w:t xml:space="preserve">cold</w:t>
            </w:r>
          </w:p>
        </w:tc>
        <w:tc>
          <w:tcPr>
            <w:tcW w:type="dxa" w:w="2700"/>
          </w:tcPr>
          <w:p>
            <w:pPr>
              <w:pStyle w:val="Compact"/>
              <w:jc w:val="left"/>
            </w:pPr>
            <w:r>
              <w:rPr>
                <w:sz w:val="18"/>
                <w:szCs w:val="18"/>
              </w:rPr>
              <w:t xml:space="preserve">original compressed volumes, both datasets</w:t>
            </w:r>
          </w:p>
        </w:tc>
        <w:tc>
          <w:tcPr>
            <w:tcW w:type="dxa" w:w="2506"/>
          </w:tcPr>
          <w:p>
            <w:pPr>
              <w:pStyle w:val="Compact"/>
              <w:jc w:val="right"/>
            </w:pPr>
            <w:r>
              <w:rPr>
                <w:b/>
                <w:sz w:val="18"/>
                <w:szCs w:val="18"/>
              </w:rPr>
              <w:t xml:space="preserve">582 GB</w:t>
            </w:r>
          </w:p>
        </w:tc>
        <w:tc>
          <w:tcPr>
            <w:tcW w:type="dxa" w:w="3060"/>
          </w:tcPr>
          <w:p>
            <w:pPr>
              <w:pStyle w:val="Compact"/>
              <w:jc w:val="left"/>
            </w:pPr>
            <w:r>
              <w:rPr>
                <w:sz w:val="18"/>
                <w:szCs w:val="18"/>
              </w:rPr>
              <w:t xml:space="preserve">external drive, checksummed, never read during training</w:t>
            </w:r>
          </w:p>
        </w:tc>
      </w:tr>
      <w:tr>
        <w:trPr>
          <w:cantSplit/>
        </w:trPr>
        <w:tc>
          <w:tcPr>
            <w:tcW w:type="dxa" w:w="1094"/>
          </w:tcPr>
          <w:p>
            <w:pPr>
              <w:pStyle w:val="Compact"/>
              <w:jc w:val="left"/>
            </w:pPr>
            <w:r>
              <w:rPr>
                <w:sz w:val="18"/>
                <w:szCs w:val="18"/>
              </w:rPr>
              <w:t xml:space="preserve">warm</w:t>
            </w:r>
          </w:p>
        </w:tc>
        <w:tc>
          <w:tcPr>
            <w:tcW w:type="dxa" w:w="2700"/>
          </w:tcPr>
          <w:p>
            <w:pPr>
              <w:pStyle w:val="Compact"/>
              <w:jc w:val="left"/>
            </w:pPr>
            <w:r>
              <w:rPr>
                <w:sz w:val="18"/>
                <w:szCs w:val="18"/>
              </w:rPr>
              <w:t xml:space="preserve">preprocessed 128³ arrays, 10.0 MiB per case</w:t>
            </w:r>
          </w:p>
        </w:tc>
        <w:tc>
          <w:tcPr>
            <w:tcW w:type="dxa" w:w="2506"/>
          </w:tcPr>
          <w:p>
            <w:pPr>
              <w:pStyle w:val="Compact"/>
              <w:jc w:val="right"/>
            </w:pPr>
            <w:r>
              <w:rPr>
                <w:b/>
                <w:sz w:val="18"/>
                <w:szCs w:val="18"/>
              </w:rPr>
              <w:t xml:space="preserve">25 GiB</w:t>
            </w:r>
            <w:r>
              <w:rPr>
                <w:sz w:val="18"/>
                <w:szCs w:val="18"/>
              </w:rPr>
              <w:t xml:space="preserve"> </w:t>
            </w:r>
            <w:r>
              <w:rPr>
                <w:sz w:val="18"/>
                <w:szCs w:val="18"/>
              </w:rPr>
              <w:t xml:space="preserve">for the merged training cohort</w:t>
            </w:r>
          </w:p>
        </w:tc>
        <w:tc>
          <w:tcPr>
            <w:tcW w:type="dxa" w:w="3060"/>
          </w:tcPr>
          <w:p>
            <w:pPr>
              <w:pStyle w:val="Compact"/>
              <w:jc w:val="left"/>
            </w:pPr>
            <w:r>
              <w:rPr>
                <w:sz w:val="18"/>
                <w:szCs w:val="18"/>
              </w:rPr>
              <w:t xml:space="preserve">internal SSD or cloud volume</w:t>
            </w:r>
          </w:p>
        </w:tc>
      </w:tr>
      <w:tr>
        <w:trPr>
          <w:cantSplit/>
        </w:trPr>
        <w:tc>
          <w:tcPr>
            <w:tcW w:type="dxa" w:w="1094"/>
          </w:tcPr>
          <w:p>
            <w:pPr>
              <w:pStyle w:val="Compact"/>
              <w:jc w:val="left"/>
            </w:pPr>
            <w:r>
              <w:rPr>
                <w:sz w:val="18"/>
                <w:szCs w:val="18"/>
              </w:rPr>
              <w:t xml:space="preserve">index</w:t>
            </w:r>
          </w:p>
        </w:tc>
        <w:tc>
          <w:tcPr>
            <w:tcW w:type="dxa" w:w="2700"/>
          </w:tcPr>
          <w:p>
            <w:pPr>
              <w:pStyle w:val="Compact"/>
              <w:jc w:val="left"/>
            </w:pPr>
            <w:r>
              <w:rPr>
                <w:sz w:val="18"/>
                <w:szCs w:val="18"/>
              </w:rPr>
              <w:t xml:space="preserve">metadata, cohorts, findings, embeddings</w:t>
            </w:r>
          </w:p>
        </w:tc>
        <w:tc>
          <w:tcPr>
            <w:tcW w:type="dxa" w:w="2506"/>
          </w:tcPr>
          <w:p>
            <w:pPr>
              <w:pStyle w:val="Compact"/>
              <w:jc w:val="right"/>
            </w:pPr>
            <w:r>
              <w:rPr>
                <w:sz w:val="18"/>
                <w:szCs w:val="18"/>
              </w:rPr>
              <w:t xml:space="preserve">~1 GB</w:t>
            </w:r>
          </w:p>
        </w:tc>
        <w:tc>
          <w:tcPr>
            <w:tcW w:type="dxa" w:w="3060"/>
          </w:tcPr>
          <w:p>
            <w:pPr>
              <w:pStyle w:val="Compact"/>
              <w:jc w:val="left"/>
            </w:pPr>
            <w:r>
              <w:rPr>
                <w:sz w:val="18"/>
                <w:szCs w:val="18"/>
              </w:rPr>
              <w:t xml:space="preserve">PostgreSQL</w:t>
            </w:r>
          </w:p>
        </w:tc>
      </w:tr>
    </w:tbl>
    <w:p>
      <w:pPr>
        <w:pStyle w:val="BodyText"/>
      </w:pPr>
      <w:r>
        <w:t xml:space="preserve">Uncompressed, the imaging archive would occupy 831 GB, and storing all 28 annotated structures as separate full volumes would require 8.1 TB. Neither is necessary: training reads only the warm tier.</w:t>
      </w:r>
    </w:p>
    <w:p>
      <w:pPr>
        <w:pStyle w:val="BodyText"/>
      </w:pPr>
      <w:r>
        <w:rPr>
          <w:b/>
        </w:rPr>
        <w:t xml:space="preserve">Consequence for compute.</w:t>
      </w:r>
      <w:r>
        <w:t xml:space="preserve"> </w:t>
      </w:r>
      <w:r>
        <w:t xml:space="preserve">Moving training to a rented GPU means uploading 25 GiB once, not 582 GB. Three controls preserve comparability: numerical precision stays at fp32, the baseline is re-established on the new hardware before any comparison, and on-demand rather than preemptible instances are used until checkpoint resume is verified end to end.</w:t>
      </w:r>
    </w:p>
    <w:p>
      <w:pPr>
        <w:pStyle w:val="Heading2"/>
      </w:pPr>
      <w:bookmarkStart w:id="35" w:name="X3518bf7c3c58c322ee2c1a9c01e41be47e5e2b1"/>
      <w:r>
        <w:t xml:space="preserve">A6. Knowledge corpus — what the data actually is</w:t>
      </w:r>
      <w:bookmarkEnd w:id="35"/>
    </w:p>
    <w:p>
      <w:pPr>
        <w:pStyle w:val="FirstParagraph"/>
      </w:pPr>
      <w:r>
        <w:t xml:space="preserve">The assistant retrieves from peer-reviewed literature, not from patient data. Scope measured against the live NCBI index:</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7274"/>
        <w:gridCol w:w="2086"/>
      </w:tblGrid>
      <w:tr>
        <w:trPr>
          <w:cnfStyle w:firstRow="1"/>
          <w:cantSplit/>
          <w:tblHeader/>
        </w:trPr>
        <w:tc>
          <w:tcPr>
            <w:tcW w:type="dxa" w:w="7274"/>
            <w:tcBorders>
              <w:bottom w:val="single"/>
            </w:tcBorders>
            <w:vAlign w:val="bottom"/>
          </w:tcPr>
          <w:p>
            <w:pPr>
              <w:pStyle w:val="Compact"/>
              <w:jc w:val="left"/>
            </w:pPr>
            <w:r>
              <w:rPr>
                <w:sz w:val="18"/>
                <w:szCs w:val="18"/>
              </w:rPr>
              <w:t xml:space="preserve">query</w:t>
            </w:r>
          </w:p>
        </w:tc>
        <w:tc>
          <w:tcPr>
            <w:tcW w:type="dxa" w:w="2086"/>
            <w:tcBorders>
              <w:bottom w:val="single"/>
            </w:tcBorders>
            <w:vAlign w:val="bottom"/>
          </w:tcPr>
          <w:p>
            <w:pPr>
              <w:pStyle w:val="Compact"/>
              <w:jc w:val="right"/>
            </w:pPr>
            <w:r>
              <w:rPr>
                <w:sz w:val="18"/>
                <w:szCs w:val="18"/>
              </w:rPr>
              <w:t xml:space="preserve">records</w:t>
            </w:r>
          </w:p>
        </w:tc>
      </w:tr>
      <w:tr>
        <w:trPr>
          <w:cantSplit/>
        </w:trPr>
        <w:tc>
          <w:tcPr>
            <w:tcW w:type="dxa" w:w="7274"/>
          </w:tcPr>
          <w:p>
            <w:pPr>
              <w:pStyle w:val="Compact"/>
              <w:jc w:val="left"/>
            </w:pPr>
            <w:r>
              <w:rPr>
                <w:sz w:val="18"/>
                <w:szCs w:val="18"/>
              </w:rPr>
              <w:t xml:space="preserve">PubMed — Pancreatic Neoplasms [MeSH] AND Tomography, X-Ray Computed [MeSH]</w:t>
            </w:r>
          </w:p>
        </w:tc>
        <w:tc>
          <w:tcPr>
            <w:tcW w:type="dxa" w:w="2086"/>
          </w:tcPr>
          <w:p>
            <w:pPr>
              <w:pStyle w:val="Compact"/>
              <w:jc w:val="right"/>
            </w:pPr>
            <w:r>
              <w:rPr>
                <w:b/>
                <w:sz w:val="18"/>
                <w:szCs w:val="18"/>
              </w:rPr>
              <w:t xml:space="preserve">8,422</w:t>
            </w:r>
          </w:p>
        </w:tc>
      </w:tr>
      <w:tr>
        <w:trPr>
          <w:cantSplit/>
        </w:trPr>
        <w:tc>
          <w:tcPr>
            <w:tcW w:type="dxa" w:w="7274"/>
          </w:tcPr>
          <w:p>
            <w:pPr>
              <w:pStyle w:val="Compact"/>
              <w:jc w:val="left"/>
            </w:pPr>
            <w:r>
              <w:rPr>
                <w:sz w:val="18"/>
                <w:szCs w:val="18"/>
              </w:rPr>
              <w:t xml:space="preserve">…of those, carrying an abstract</w:t>
            </w:r>
          </w:p>
        </w:tc>
        <w:tc>
          <w:tcPr>
            <w:tcW w:type="dxa" w:w="2086"/>
          </w:tcPr>
          <w:p>
            <w:pPr>
              <w:pStyle w:val="Compact"/>
              <w:jc w:val="right"/>
            </w:pPr>
            <w:r>
              <w:rPr>
                <w:b/>
                <w:sz w:val="18"/>
                <w:szCs w:val="18"/>
              </w:rPr>
              <w:t xml:space="preserve">6,949</w:t>
            </w:r>
          </w:p>
        </w:tc>
      </w:tr>
      <w:tr>
        <w:trPr>
          <w:cantSplit/>
        </w:trPr>
        <w:tc>
          <w:tcPr>
            <w:tcW w:type="dxa" w:w="7274"/>
          </w:tcPr>
          <w:p>
            <w:pPr>
              <w:pStyle w:val="Compact"/>
              <w:jc w:val="left"/>
            </w:pPr>
            <w:r>
              <w:rPr>
                <w:sz w:val="18"/>
                <w:szCs w:val="18"/>
              </w:rPr>
              <w:t xml:space="preserve">PMC Open Access subset — same MeSH terms</w:t>
            </w:r>
          </w:p>
        </w:tc>
        <w:tc>
          <w:tcPr>
            <w:tcW w:type="dxa" w:w="2086"/>
          </w:tcPr>
          <w:p>
            <w:pPr>
              <w:pStyle w:val="Compact"/>
              <w:jc w:val="right"/>
            </w:pPr>
            <w:r>
              <w:rPr>
                <w:b/>
                <w:sz w:val="18"/>
                <w:szCs w:val="18"/>
              </w:rPr>
              <w:t xml:space="preserve">880</w:t>
            </w:r>
          </w:p>
        </w:tc>
      </w:tr>
      <w:tr>
        <w:trPr>
          <w:cantSplit/>
        </w:trPr>
        <w:tc>
          <w:tcPr>
            <w:tcW w:type="dxa" w:w="7274"/>
          </w:tcPr>
          <w:p>
            <w:pPr>
              <w:pStyle w:val="Compact"/>
              <w:jc w:val="left"/>
            </w:pPr>
            <w:r>
              <w:rPr>
                <w:sz w:val="18"/>
                <w:szCs w:val="18"/>
              </w:rPr>
              <w:t xml:space="preserve">PubMed — Pancreatic Neoplasms [MeSH], any modality</w:t>
            </w:r>
          </w:p>
        </w:tc>
        <w:tc>
          <w:tcPr>
            <w:tcW w:type="dxa" w:w="2086"/>
          </w:tcPr>
          <w:p>
            <w:pPr>
              <w:pStyle w:val="Compact"/>
              <w:jc w:val="right"/>
            </w:pPr>
            <w:r>
              <w:rPr>
                <w:sz w:val="18"/>
                <w:szCs w:val="18"/>
              </w:rPr>
              <w:t xml:space="preserve">104,140</w:t>
            </w:r>
          </w:p>
        </w:tc>
      </w:tr>
    </w:tbl>
    <w:p>
      <w:pPr>
        <w:pStyle w:val="BodyText"/>
      </w:pPr>
      <w:r>
        <w:t xml:space="preserve">The committed corpus is the first row plus full text where the Open Access subset provides it. At roughly one to two chunks per abstract and forty per full-text article, that is an estimated</w:t>
      </w:r>
      <w:r>
        <w:t xml:space="preserve"> </w:t>
      </w:r>
      <w:r>
        <w:rPr>
          <w:b/>
        </w:rPr>
        <w:t xml:space="preserve">40,000–60,000 chunks</w:t>
      </w:r>
      <w:r>
        <w:t xml:space="preserve"> </w:t>
      </w:r>
      <w:r>
        <w:t xml:space="preserve">and a vector index under 100 MB — comfortably inside pgvector’s range, with no second database service required.</w:t>
      </w:r>
    </w:p>
    <w:p>
      <w:pPr>
        <w:pStyle w:val="BodyText"/>
      </w:pPr>
      <w:r>
        <w:t xml:space="preserve">A record as retrieved, unmodified:</w:t>
      </w:r>
    </w:p>
    <w:p>
      <w:pPr>
        <w:pStyle w:val="SourceCode"/>
      </w:pPr>
      <w:r>
        <w:rPr>
          <w:rStyle w:val="VerbatimChar"/>
        </w:rPr>
        <w:t xml:space="preserve">PMID      39865461</w:t>
      </w:r>
      <w:r>
        <w:br/>
      </w:r>
      <w:r>
        <w:rPr>
          <w:rStyle w:val="VerbatimChar"/>
        </w:rPr>
        <w:t xml:space="preserve">JOURNAL   United European Gastroenterology Journal (2025)</w:t>
      </w:r>
      <w:r>
        <w:br/>
      </w:r>
      <w:r>
        <w:rPr>
          <w:rStyle w:val="VerbatimChar"/>
        </w:rPr>
        <w:t xml:space="preserve">TITLE     Artificial Intelligence in Pancreatic Imaging: A Systematic Review</w:t>
      </w:r>
      <w:r>
        <w:br/>
      </w:r>
      <w:r>
        <w:rPr>
          <w:rStyle w:val="VerbatimChar"/>
        </w:rPr>
        <w:t xml:space="preserve">MeSH      Humans; Artificial Intelligence; Deep Learning; Pancreatic Neoplasms;</w:t>
      </w:r>
      <w:r>
        <w:br/>
      </w:r>
      <w:r>
        <w:rPr>
          <w:rStyle w:val="VerbatimChar"/>
        </w:rPr>
        <w:t xml:space="preserve">          Pancreas; Magnetic Resonance Imaging; Pancreatic Diseases;</w:t>
      </w:r>
      <w:r>
        <w:br/>
      </w:r>
      <w:r>
        <w:rPr>
          <w:rStyle w:val="VerbatimChar"/>
        </w:rPr>
        <w:t xml:space="preserve">          Neural Networks, Computer</w:t>
      </w:r>
      <w:r>
        <w:br/>
      </w:r>
      <w:r>
        <w:rPr>
          <w:rStyle w:val="VerbatimChar"/>
        </w:rPr>
        <w:t xml:space="preserve">ABSTRACT  The rising incidence of pancreatic diseases, including acute and</w:t>
      </w:r>
      <w:r>
        <w:br/>
      </w:r>
      <w:r>
        <w:rPr>
          <w:rStyle w:val="VerbatimChar"/>
        </w:rPr>
        <w:t xml:space="preserve">          chronic pancreatitis and various pancreatic neoplasms, poses a</w:t>
      </w:r>
      <w:r>
        <w:br/>
      </w:r>
      <w:r>
        <w:rPr>
          <w:rStyle w:val="VerbatimChar"/>
        </w:rPr>
        <w:t xml:space="preserve">          significant global health challenge. Pancreatic ductal</w:t>
      </w:r>
      <w:r>
        <w:br/>
      </w:r>
      <w:r>
        <w:rPr>
          <w:rStyle w:val="VerbatimChar"/>
        </w:rPr>
        <w:t xml:space="preserve">          adenocarcinoma (PDAC) for example, has a high mortality rate due</w:t>
      </w:r>
      <w:r>
        <w:br/>
      </w:r>
      <w:r>
        <w:rPr>
          <w:rStyle w:val="VerbatimChar"/>
        </w:rPr>
        <w:t xml:space="preserve">          to late-stage diagnosis and its inaccessible location...</w:t>
      </w:r>
    </w:p>
    <w:p>
      <w:pPr>
        <w:pStyle w:val="FirstParagraph"/>
      </w:pPr>
      <w:r>
        <w:t xml:space="preserve">The abstract is chunked and embedded; the PMID becomes the citation displayed beside any statement drawn from that passage; MeSH descriptors and publication year become structured filters, so a query can combine semantic similarity with</w:t>
      </w:r>
      <w:r>
        <w:t xml:space="preserve"> </w:t>
      </w:r>
      <w:r>
        <w:rPr>
          <w:rStyle w:val="VerbatimChar"/>
        </w:rPr>
        <w:t xml:space="preserve">year &gt;= 2010</w:t>
      </w:r>
      <w:r>
        <w:t xml:space="preserve"> </w:t>
      </w:r>
      <w:r>
        <w:t xml:space="preserve">in one SQL statement.</w:t>
      </w:r>
    </w:p>
    <w:p>
      <w:pPr>
        <w:pStyle w:val="BodyText"/>
      </w:pPr>
      <w:r>
        <w:rPr>
          <w:b/>
        </w:rPr>
        <w:t xml:space="preserve">Known data-quality issue, quantified.</w:t>
      </w:r>
      <w:r>
        <w:t xml:space="preserve"> </w:t>
      </w:r>
      <w:r>
        <w:t xml:space="preserve">1,473 of 8,422 records (17.5%) carry no abstract —</w:t>
      </w:r>
      <w:r>
        <w:t xml:space="preserve"> </w:t>
      </w:r>
      <w:r>
        <w:rPr>
          <w:rStyle w:val="VerbatimChar"/>
        </w:rPr>
        <w:t xml:space="preserve">39231345</w:t>
      </w:r>
      <w:r>
        <w:t xml:space="preserve">,</w:t>
      </w:r>
      <w:r>
        <w:t xml:space="preserve"> </w:t>
      </w:r>
      <w:r>
        <w:rPr>
          <w:i/>
        </w:rPr>
        <w:t xml:space="preserve">Pancreatic Cysts</w:t>
      </w:r>
      <w:r>
        <w:t xml:space="preserve"> </w:t>
      </w:r>
      <w:r>
        <w:t xml:space="preserve">in the New England Journal of Medicine, is title and MeSH only. Records without retrievable text are excluded at ingest and the exclusion count is reported, rather than embedding empty documents.</w:t>
      </w:r>
    </w:p>
    <w:p>
      <w:pPr>
        <w:pStyle w:val="BodyText"/>
      </w:pPr>
      <w:r>
        <w:rPr>
          <w:b/>
        </w:rPr>
        <w:t xml:space="preserve">Pipeline.</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2013"/>
        <w:gridCol w:w="7347"/>
      </w:tblGrid>
      <w:tr>
        <w:trPr>
          <w:cnfStyle w:firstRow="1"/>
          <w:cantSplit/>
          <w:tblHeader/>
        </w:trPr>
        <w:tc>
          <w:tcPr>
            <w:tcW w:type="dxa" w:w="2013"/>
            <w:tcBorders>
              <w:bottom w:val="single"/>
            </w:tcBorders>
            <w:vAlign w:val="bottom"/>
          </w:tcPr>
          <w:p>
            <w:pPr>
              <w:pStyle w:val="Compact"/>
              <w:jc w:val="left"/>
            </w:pPr>
            <w:r>
              <w:rPr>
                <w:sz w:val="18"/>
                <w:szCs w:val="18"/>
              </w:rPr>
              <w:t xml:space="preserve">stage</w:t>
            </w:r>
          </w:p>
        </w:tc>
        <w:tc>
          <w:tcPr>
            <w:tcW w:type="dxa" w:w="7347"/>
            <w:tcBorders>
              <w:bottom w:val="single"/>
            </w:tcBorders>
            <w:vAlign w:val="bottom"/>
          </w:tcPr>
          <w:p>
            <w:pPr>
              <w:pStyle w:val="Compact"/>
              <w:jc w:val="left"/>
            </w:pPr>
            <w:r>
              <w:rPr>
                <w:sz w:val="18"/>
                <w:szCs w:val="18"/>
              </w:rPr>
              <w:t xml:space="preserve">specification</w:t>
            </w:r>
          </w:p>
        </w:tc>
      </w:tr>
      <w:tr>
        <w:trPr>
          <w:cantSplit/>
        </w:trPr>
        <w:tc>
          <w:tcPr>
            <w:tcW w:type="dxa" w:w="2013"/>
          </w:tcPr>
          <w:p>
            <w:pPr>
              <w:pStyle w:val="Compact"/>
              <w:jc w:val="left"/>
            </w:pPr>
            <w:r>
              <w:rPr>
                <w:sz w:val="18"/>
                <w:szCs w:val="18"/>
              </w:rPr>
              <w:t xml:space="preserve">chunking</w:t>
            </w:r>
          </w:p>
        </w:tc>
        <w:tc>
          <w:tcPr>
            <w:tcW w:type="dxa" w:w="7347"/>
          </w:tcPr>
          <w:p>
            <w:pPr>
              <w:pStyle w:val="Compact"/>
              <w:jc w:val="left"/>
            </w:pPr>
            <w:r>
              <w:rPr>
                <w:sz w:val="18"/>
                <w:szCs w:val="18"/>
              </w:rPr>
              <w:t xml:space="preserve">~512 tokens, 64-token overlap, section boundaries respected</w:t>
            </w:r>
          </w:p>
        </w:tc>
      </w:tr>
      <w:tr>
        <w:trPr>
          <w:cantSplit/>
        </w:trPr>
        <w:tc>
          <w:tcPr>
            <w:tcW w:type="dxa" w:w="2013"/>
          </w:tcPr>
          <w:p>
            <w:pPr>
              <w:pStyle w:val="Compact"/>
              <w:jc w:val="left"/>
            </w:pPr>
            <w:r>
              <w:rPr>
                <w:sz w:val="18"/>
                <w:szCs w:val="18"/>
              </w:rPr>
              <w:t xml:space="preserve">embedding</w:t>
            </w:r>
          </w:p>
        </w:tc>
        <w:tc>
          <w:tcPr>
            <w:tcW w:type="dxa" w:w="7347"/>
          </w:tcPr>
          <w:p>
            <w:pPr>
              <w:pStyle w:val="Compact"/>
              <w:jc w:val="left"/>
            </w:pPr>
            <w:r>
              <w:rPr>
                <w:sz w:val="18"/>
                <w:szCs w:val="18"/>
              </w:rPr>
              <w:t xml:space="preserve">sentence-transformer; pre-registered comparison of a general model (384 dimensions) against a biomedical model (768)</w:t>
            </w:r>
          </w:p>
        </w:tc>
      </w:tr>
      <w:tr>
        <w:trPr>
          <w:cantSplit/>
        </w:trPr>
        <w:tc>
          <w:tcPr>
            <w:tcW w:type="dxa" w:w="2013"/>
          </w:tcPr>
          <w:p>
            <w:pPr>
              <w:pStyle w:val="Compact"/>
              <w:jc w:val="left"/>
            </w:pPr>
            <w:r>
              <w:rPr>
                <w:sz w:val="18"/>
                <w:szCs w:val="18"/>
              </w:rPr>
              <w:t xml:space="preserve">index</w:t>
            </w:r>
          </w:p>
        </w:tc>
        <w:tc>
          <w:tcPr>
            <w:tcW w:type="dxa" w:w="7347"/>
          </w:tcPr>
          <w:p>
            <w:pPr>
              <w:pStyle w:val="Compact"/>
              <w:jc w:val="left"/>
            </w:pPr>
            <w:r>
              <w:rPr>
                <w:sz w:val="18"/>
                <w:szCs w:val="18"/>
              </w:rPr>
              <w:t xml:space="preserve">pgvector HNSW, cosine distance, parameters tuned against a held-out question set</w:t>
            </w:r>
          </w:p>
        </w:tc>
      </w:tr>
      <w:tr>
        <w:trPr>
          <w:cantSplit/>
        </w:trPr>
        <w:tc>
          <w:tcPr>
            <w:tcW w:type="dxa" w:w="2013"/>
          </w:tcPr>
          <w:p>
            <w:pPr>
              <w:pStyle w:val="Compact"/>
              <w:jc w:val="left"/>
            </w:pPr>
            <w:r>
              <w:rPr>
                <w:sz w:val="18"/>
                <w:szCs w:val="18"/>
              </w:rPr>
              <w:t xml:space="preserve">retrieval</w:t>
            </w:r>
          </w:p>
        </w:tc>
        <w:tc>
          <w:tcPr>
            <w:tcW w:type="dxa" w:w="7347"/>
          </w:tcPr>
          <w:p>
            <w:pPr>
              <w:pStyle w:val="Compact"/>
              <w:jc w:val="left"/>
            </w:pPr>
            <w:r>
              <w:rPr>
                <w:sz w:val="18"/>
                <w:szCs w:val="18"/>
              </w:rPr>
              <w:t xml:space="preserve">top-k passages, filtered by structured predicates in the same SQL query</w:t>
            </w:r>
          </w:p>
        </w:tc>
      </w:tr>
      <w:tr>
        <w:trPr>
          <w:cantSplit/>
        </w:trPr>
        <w:tc>
          <w:tcPr>
            <w:tcW w:type="dxa" w:w="2013"/>
          </w:tcPr>
          <w:p>
            <w:pPr>
              <w:pStyle w:val="Compact"/>
              <w:jc w:val="left"/>
            </w:pPr>
            <w:r>
              <w:rPr>
                <w:sz w:val="18"/>
                <w:szCs w:val="18"/>
              </w:rPr>
              <w:t xml:space="preserve">generation</w:t>
            </w:r>
          </w:p>
        </w:tc>
        <w:tc>
          <w:tcPr>
            <w:tcW w:type="dxa" w:w="7347"/>
          </w:tcPr>
          <w:p>
            <w:pPr>
              <w:pStyle w:val="Compact"/>
              <w:jc w:val="left"/>
            </w:pPr>
            <w:r>
              <w:rPr>
                <w:sz w:val="18"/>
                <w:szCs w:val="18"/>
              </w:rPr>
              <w:t xml:space="preserve">Qwen instruct via Ollama, temperature 0, executed locally</w:t>
            </w:r>
          </w:p>
        </w:tc>
      </w:tr>
    </w:tbl>
    <w:p>
      <w:pPr>
        <w:pStyle w:val="BodyText"/>
      </w:pPr>
      <w:r>
        <w:rPr>
          <w:b/>
        </w:rPr>
        <w:t xml:space="preserve">Query construction.</w:t>
      </w:r>
      <w:r>
        <w:t xml:space="preserve"> </w:t>
      </w:r>
      <w:r>
        <w:t xml:space="preserve">The assistant is not a free-text chatbot. A query is templated from the finding row the pipeline just wrote:</w:t>
      </w:r>
    </w:p>
    <w:p>
      <w:pPr>
        <w:pStyle w:val="SourceCode"/>
      </w:pPr>
      <w:r>
        <w:rPr>
          <w:rStyle w:val="VerbatimChar"/>
        </w:rPr>
        <w:t xml:space="preserve">finding:  lesion 2.4 cm maximum diameter, 5.3 cm³, pancreatic head,</w:t>
      </w:r>
      <w:r>
        <w:br/>
      </w:r>
      <w:r>
        <w:rPr>
          <w:rStyle w:val="VerbatimChar"/>
        </w:rPr>
        <w:t xml:space="preserve">          portal venous phase, organ volume 77 cm³</w:t>
      </w:r>
      <w:r>
        <w:br/>
      </w:r>
      <w:r>
        <w:rPr>
          <w:rStyle w:val="VerbatimChar"/>
        </w:rPr>
        <w:t xml:space="preserve">question: &lt;clinician question&gt;</w:t>
      </w:r>
      <w:r>
        <w:br/>
      </w:r>
      <w:r>
        <w:rPr>
          <w:rStyle w:val="VerbatimChar"/>
        </w:rPr>
        <w:t xml:space="preserve">retrieve: top-k chunks WHERE embedding &lt;=&gt; query_embedding</w:t>
      </w:r>
      <w:r>
        <w:br/>
      </w:r>
      <w:r>
        <w:rPr>
          <w:rStyle w:val="VerbatimChar"/>
        </w:rPr>
        <w:t xml:space="preserve">          AND year &gt;= 2010</w:t>
      </w:r>
    </w:p>
    <w:p>
      <w:pPr>
        <w:pStyle w:val="FirstParagraph"/>
      </w:pPr>
      <w:r>
        <w:rPr>
          <w:b/>
        </w:rPr>
        <w:t xml:space="preserve">Cite or refuse.</w:t>
      </w:r>
      <w:r>
        <w:t xml:space="preserve"> </w:t>
      </w:r>
      <w:r>
        <w:t xml:space="preserve">The system prompt permits only statements supported by retrieved passages, each rendered beside the text it supports. If the best retrieval score falls below a calibrated threshold, the assistant returns a refusal rather than generating. This is a testable property, and it is what keeps a literature-lookup tool from becoming unlicensed clinical advice.</w:t>
      </w:r>
    </w:p>
    <w:p>
      <w:pPr>
        <w:pStyle w:val="BodyText"/>
      </w:pPr>
      <w:r>
        <w:rPr>
          <w:b/>
        </w:rPr>
        <w:t xml:space="preserve">Evaluation.</w:t>
      </w:r>
      <w:r>
        <w:t xml:space="preserve"> </w:t>
      </w:r>
      <w:r>
        <w:t xml:space="preserve">Retrieval scored with recall@k (whether the relevant passage appears in the top k results) and mean reciprocal rank (how near the top the first correct passage lands), against a hand-authored question set of clinical questions paired with the documents that should answer them. Generation scored by groundedness rate — the fraction of claims traceable to a retrieved passage — and by refusal accuracy on questions deliberately outside the corpus.</w:t>
      </w:r>
    </w:p>
    <w:p>
      <w:pPr>
        <w:pStyle w:val="BodyText"/>
      </w:pPr>
      <w:r>
        <w:rPr>
          <w:b/>
        </w:rPr>
        <w:t xml:space="preserve">Scope decision.</w:t>
      </w:r>
      <w:r>
        <w:t xml:space="preserve"> </w:t>
      </w:r>
      <w:r>
        <w:t xml:space="preserve">The corpus is deliberately narrow. Widening to all imaging modalities or all pancreatic neoplasm literature would grow it by an order of magnitude while lowering retrieval precision. Corpus breadth is treated as a tunable parameter and becomes the second axis of the retrieval evaluation, alongside the embedding-model comparison.</w:t>
      </w:r>
    </w:p>
    <w:p>
      <w:pPr>
        <w:pStyle w:val="Heading2"/>
      </w:pPr>
      <w:bookmarkStart w:id="36" w:name="a7.-risks-and-fallbacks"/>
      <w:r>
        <w:t xml:space="preserve">A7. Risks and fallbacks</w:t>
      </w:r>
      <w:bookmarkEnd w:id="36"/>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3019"/>
        <w:gridCol w:w="1681"/>
        <w:gridCol w:w="4660"/>
      </w:tblGrid>
      <w:tr>
        <w:trPr>
          <w:cnfStyle w:firstRow="1"/>
          <w:cantSplit/>
          <w:tblHeader/>
        </w:trPr>
        <w:tc>
          <w:tcPr>
            <w:tcW w:type="dxa" w:w="3019"/>
            <w:tcBorders>
              <w:bottom w:val="single"/>
            </w:tcBorders>
            <w:vAlign w:val="bottom"/>
          </w:tcPr>
          <w:p>
            <w:pPr>
              <w:pStyle w:val="Compact"/>
              <w:jc w:val="left"/>
            </w:pPr>
            <w:r>
              <w:rPr>
                <w:sz w:val="18"/>
                <w:szCs w:val="18"/>
              </w:rPr>
              <w:t xml:space="preserve">risk</w:t>
            </w:r>
          </w:p>
        </w:tc>
        <w:tc>
          <w:tcPr>
            <w:tcW w:type="dxa" w:w="1681"/>
            <w:tcBorders>
              <w:bottom w:val="single"/>
            </w:tcBorders>
            <w:vAlign w:val="bottom"/>
          </w:tcPr>
          <w:p>
            <w:pPr>
              <w:pStyle w:val="Compact"/>
              <w:jc w:val="left"/>
            </w:pPr>
            <w:r>
              <w:rPr>
                <w:sz w:val="18"/>
                <w:szCs w:val="18"/>
              </w:rPr>
              <w:t xml:space="preserve">likelihood</w:t>
            </w:r>
          </w:p>
        </w:tc>
        <w:tc>
          <w:tcPr>
            <w:tcW w:type="dxa" w:w="4660"/>
            <w:tcBorders>
              <w:bottom w:val="single"/>
            </w:tcBorders>
            <w:vAlign w:val="bottom"/>
          </w:tcPr>
          <w:p>
            <w:pPr>
              <w:pStyle w:val="Compact"/>
              <w:jc w:val="left"/>
            </w:pPr>
            <w:r>
              <w:rPr>
                <w:sz w:val="18"/>
                <w:szCs w:val="18"/>
              </w:rPr>
              <w:t xml:space="preserve">response</w:t>
            </w:r>
          </w:p>
        </w:tc>
      </w:tr>
      <w:tr>
        <w:trPr>
          <w:cantSplit/>
        </w:trPr>
        <w:tc>
          <w:tcPr>
            <w:tcW w:type="dxa" w:w="3019"/>
          </w:tcPr>
          <w:p>
            <w:pPr>
              <w:pStyle w:val="Compact"/>
              <w:jc w:val="left"/>
            </w:pPr>
            <w:r>
              <w:rPr>
                <w:sz w:val="18"/>
                <w:szCs w:val="18"/>
              </w:rPr>
              <w:t xml:space="preserve">The week 6 experiment returns null — added tumors do not improve lesion Dice</w:t>
            </w:r>
          </w:p>
        </w:tc>
        <w:tc>
          <w:tcPr>
            <w:tcW w:type="dxa" w:w="1681"/>
          </w:tcPr>
          <w:p>
            <w:pPr>
              <w:pStyle w:val="Compact"/>
              <w:jc w:val="left"/>
            </w:pPr>
            <w:r>
              <w:rPr>
                <w:sz w:val="18"/>
                <w:szCs w:val="18"/>
              </w:rPr>
              <w:t xml:space="preserve">Moderate</w:t>
            </w:r>
          </w:p>
        </w:tc>
        <w:tc>
          <w:tcPr>
            <w:tcW w:type="dxa" w:w="4660"/>
          </w:tcPr>
          <w:p>
            <w:pPr>
              <w:pStyle w:val="Compact"/>
              <w:jc w:val="left"/>
            </w:pPr>
            <w:r>
              <w:rPr>
                <w:sz w:val="18"/>
                <w:szCs w:val="18"/>
              </w:rPr>
              <w:t xml:space="preserve">Reported as a null result; the baseline cohort is retained. The integration work stands alone as the data engineering deliverable; pipeline and gate are unaffected.</w:t>
            </w:r>
          </w:p>
        </w:tc>
      </w:tr>
      <w:tr>
        <w:trPr>
          <w:cantSplit/>
        </w:trPr>
        <w:tc>
          <w:tcPr>
            <w:tcW w:type="dxa" w:w="3019"/>
          </w:tcPr>
          <w:p>
            <w:pPr>
              <w:pStyle w:val="Compact"/>
              <w:jc w:val="left"/>
            </w:pPr>
            <w:r>
              <w:rPr>
                <w:sz w:val="18"/>
                <w:szCs w:val="18"/>
              </w:rPr>
              <w:t xml:space="preserve">The autonomous cascade loses significant accuracy against the provided-region baseline</w:t>
            </w:r>
          </w:p>
        </w:tc>
        <w:tc>
          <w:tcPr>
            <w:tcW w:type="dxa" w:w="1681"/>
          </w:tcPr>
          <w:p>
            <w:pPr>
              <w:pStyle w:val="Compact"/>
              <w:jc w:val="left"/>
            </w:pPr>
            <w:r>
              <w:rPr>
                <w:sz w:val="18"/>
                <w:szCs w:val="18"/>
              </w:rPr>
              <w:t xml:space="preserve">Moderate</w:t>
            </w:r>
          </w:p>
        </w:tc>
        <w:tc>
          <w:tcPr>
            <w:tcW w:type="dxa" w:w="4660"/>
          </w:tcPr>
          <w:p>
            <w:pPr>
              <w:pStyle w:val="Compact"/>
              <w:jc w:val="left"/>
            </w:pPr>
            <w:r>
              <w:rPr>
                <w:sz w:val="18"/>
                <w:szCs w:val="18"/>
              </w:rPr>
              <w:t xml:space="preserve">Both numbers reported side by side, which is the honest comparison regardless. Prior work measured 98% tumor coverage from the predicted region, so total failure is unlikely.</w:t>
            </w:r>
          </w:p>
        </w:tc>
      </w:tr>
      <w:tr>
        <w:trPr>
          <w:cantSplit/>
        </w:trPr>
        <w:tc>
          <w:tcPr>
            <w:tcW w:type="dxa" w:w="3019"/>
          </w:tcPr>
          <w:p>
            <w:pPr>
              <w:pStyle w:val="Compact"/>
              <w:jc w:val="left"/>
            </w:pPr>
            <w:r>
              <w:rPr>
                <w:sz w:val="18"/>
                <w:szCs w:val="18"/>
              </w:rPr>
              <w:t xml:space="preserve">Johns Hopkins does not respond to the external submission</w:t>
            </w:r>
          </w:p>
        </w:tc>
        <w:tc>
          <w:tcPr>
            <w:tcW w:type="dxa" w:w="1681"/>
          </w:tcPr>
          <w:p>
            <w:pPr>
              <w:pStyle w:val="Compact"/>
              <w:jc w:val="left"/>
            </w:pPr>
            <w:r>
              <w:rPr>
                <w:sz w:val="18"/>
                <w:szCs w:val="18"/>
              </w:rPr>
              <w:t xml:space="preserve">Likely enough to plan for</w:t>
            </w:r>
          </w:p>
        </w:tc>
        <w:tc>
          <w:tcPr>
            <w:tcW w:type="dxa" w:w="4660"/>
          </w:tcPr>
          <w:p>
            <w:pPr>
              <w:pStyle w:val="Compact"/>
              <w:jc w:val="left"/>
            </w:pPr>
            <w:r>
              <w:rPr>
                <w:sz w:val="18"/>
                <w:szCs w:val="18"/>
              </w:rPr>
              <w:t xml:space="preserve">The submission is a stretch goal outside the critical path. Two alternatives remain: leave-one-institution-out across six sites within PanTS, and the PANORAMA challenge’s own hidden test cohort.</w:t>
            </w:r>
          </w:p>
        </w:tc>
      </w:tr>
      <w:tr>
        <w:trPr>
          <w:cantSplit/>
        </w:trPr>
        <w:tc>
          <w:tcPr>
            <w:tcW w:type="dxa" w:w="3019"/>
          </w:tcPr>
          <w:p>
            <w:pPr>
              <w:pStyle w:val="Compact"/>
              <w:jc w:val="left"/>
            </w:pPr>
            <w:r>
              <w:rPr>
                <w:sz w:val="18"/>
                <w:szCs w:val="18"/>
              </w:rPr>
              <w:t xml:space="preserve">Specificity cannot be raised without breaching the 96% detection floor</w:t>
            </w:r>
          </w:p>
        </w:tc>
        <w:tc>
          <w:tcPr>
            <w:tcW w:type="dxa" w:w="1681"/>
          </w:tcPr>
          <w:p>
            <w:pPr>
              <w:pStyle w:val="Compact"/>
              <w:jc w:val="left"/>
            </w:pPr>
            <w:r>
              <w:rPr>
                <w:sz w:val="18"/>
                <w:szCs w:val="18"/>
              </w:rPr>
              <w:t xml:space="preserve">Moderate</w:t>
            </w:r>
          </w:p>
        </w:tc>
        <w:tc>
          <w:tcPr>
            <w:tcW w:type="dxa" w:w="4660"/>
          </w:tcPr>
          <w:p>
            <w:pPr>
              <w:pStyle w:val="Compact"/>
              <w:jc w:val="left"/>
            </w:pPr>
            <w:r>
              <w:rPr>
                <w:sz w:val="18"/>
                <w:szCs w:val="18"/>
              </w:rPr>
              <w:t xml:space="preserve">Report the full operating-point curve rather than a single threshold. A prior experiment established that this axis is movable and located the cost in small tumors.</w:t>
            </w:r>
          </w:p>
        </w:tc>
      </w:tr>
      <w:tr>
        <w:trPr>
          <w:cantSplit/>
        </w:trPr>
        <w:tc>
          <w:tcPr>
            <w:tcW w:type="dxa" w:w="3019"/>
          </w:tcPr>
          <w:p>
            <w:pPr>
              <w:pStyle w:val="Compact"/>
              <w:jc w:val="left"/>
            </w:pPr>
            <w:r>
              <w:rPr>
                <w:sz w:val="18"/>
                <w:szCs w:val="18"/>
              </w:rPr>
              <w:t xml:space="preserve">The clinical stakeholder becomes unavailable</w:t>
            </w:r>
          </w:p>
        </w:tc>
        <w:tc>
          <w:tcPr>
            <w:tcW w:type="dxa" w:w="1681"/>
          </w:tcPr>
          <w:p>
            <w:pPr>
              <w:pStyle w:val="Compact"/>
              <w:jc w:val="left"/>
            </w:pPr>
            <w:r>
              <w:rPr>
                <w:sz w:val="18"/>
                <w:szCs w:val="18"/>
              </w:rPr>
              <w:t xml:space="preserve">Low</w:t>
            </w:r>
          </w:p>
        </w:tc>
        <w:tc>
          <w:tcPr>
            <w:tcW w:type="dxa" w:w="4660"/>
          </w:tcPr>
          <w:p>
            <w:pPr>
              <w:pStyle w:val="Compact"/>
              <w:jc w:val="left"/>
            </w:pPr>
            <w:r>
              <w:rPr>
                <w:sz w:val="18"/>
                <w:szCs w:val="18"/>
              </w:rPr>
              <w:t xml:space="preserve">A diagnostic care coordinator has already confirmed. A practicing radiologist is being arranged as primary; the coordinator is the fallback, not a hedge.</w:t>
            </w:r>
          </w:p>
        </w:tc>
      </w:tr>
      <w:tr>
        <w:trPr>
          <w:cantSplit/>
        </w:trPr>
        <w:tc>
          <w:tcPr>
            <w:tcW w:type="dxa" w:w="3019"/>
          </w:tcPr>
          <w:p>
            <w:pPr>
              <w:pStyle w:val="Compact"/>
              <w:jc w:val="left"/>
            </w:pPr>
            <w:r>
              <w:rPr>
                <w:sz w:val="18"/>
                <w:szCs w:val="18"/>
              </w:rPr>
              <w:t xml:space="preserve">Assistant produces an ungrounded clinical statement</w:t>
            </w:r>
          </w:p>
        </w:tc>
        <w:tc>
          <w:tcPr>
            <w:tcW w:type="dxa" w:w="1681"/>
          </w:tcPr>
          <w:p>
            <w:pPr>
              <w:pStyle w:val="Compact"/>
              <w:jc w:val="left"/>
            </w:pPr>
            <w:r>
              <w:rPr>
                <w:sz w:val="18"/>
                <w:szCs w:val="18"/>
              </w:rPr>
              <w:t xml:space="preserve">Low, and gated</w:t>
            </w:r>
          </w:p>
        </w:tc>
        <w:tc>
          <w:tcPr>
            <w:tcW w:type="dxa" w:w="4660"/>
          </w:tcPr>
          <w:p>
            <w:pPr>
              <w:pStyle w:val="Compact"/>
              <w:jc w:val="left"/>
            </w:pPr>
            <w:r>
              <w:rPr>
                <w:sz w:val="18"/>
                <w:szCs w:val="18"/>
              </w:rPr>
              <w:t xml:space="preserve">Cite-or-refuse is enforced at generation, not by disclaimer, and refusal accuracy is measured. Any ungrounded output reaching the interface is a defect, not a tuning issue.</w:t>
            </w:r>
          </w:p>
        </w:tc>
      </w:tr>
      <w:tr>
        <w:trPr>
          <w:cantSplit/>
        </w:trPr>
        <w:tc>
          <w:tcPr>
            <w:tcW w:type="dxa" w:w="3019"/>
          </w:tcPr>
          <w:p>
            <w:pPr>
              <w:pStyle w:val="Compact"/>
              <w:jc w:val="left"/>
            </w:pPr>
            <w:r>
              <w:rPr>
                <w:sz w:val="18"/>
                <w:szCs w:val="18"/>
              </w:rPr>
              <w:t xml:space="preserve">Training throughput on local hardware is insufficient</w:t>
            </w:r>
          </w:p>
        </w:tc>
        <w:tc>
          <w:tcPr>
            <w:tcW w:type="dxa" w:w="1681"/>
          </w:tcPr>
          <w:p>
            <w:pPr>
              <w:pStyle w:val="Compact"/>
              <w:jc w:val="left"/>
            </w:pPr>
            <w:r>
              <w:rPr>
                <w:sz w:val="18"/>
                <w:szCs w:val="18"/>
              </w:rPr>
              <w:t xml:space="preserve">Moderate</w:t>
            </w:r>
          </w:p>
        </w:tc>
        <w:tc>
          <w:tcPr>
            <w:tcW w:type="dxa" w:w="4660"/>
          </w:tcPr>
          <w:p>
            <w:pPr>
              <w:pStyle w:val="Compact"/>
              <w:jc w:val="left"/>
            </w:pPr>
            <w:r>
              <w:rPr>
                <w:sz w:val="18"/>
                <w:szCs w:val="18"/>
              </w:rPr>
              <w:t xml:space="preserve">The warm cache makes cloud GPU a 25 GiB upload. A profiling pass in week 1 determines whether the bottleneck is compute or input/output before any money is spent.</w:t>
            </w:r>
          </w:p>
        </w:tc>
      </w:tr>
      <w:tr>
        <w:trPr>
          <w:cantSplit/>
        </w:trPr>
        <w:tc>
          <w:tcPr>
            <w:tcW w:type="dxa" w:w="3019"/>
          </w:tcPr>
          <w:p>
            <w:pPr>
              <w:pStyle w:val="Compact"/>
              <w:jc w:val="left"/>
            </w:pPr>
            <w:r>
              <w:rPr>
                <w:sz w:val="18"/>
                <w:szCs w:val="18"/>
              </w:rPr>
              <w:t xml:space="preserve">Scope overruns across two systems</w:t>
            </w:r>
          </w:p>
        </w:tc>
        <w:tc>
          <w:tcPr>
            <w:tcW w:type="dxa" w:w="1681"/>
          </w:tcPr>
          <w:p>
            <w:pPr>
              <w:pStyle w:val="Compact"/>
              <w:jc w:val="left"/>
            </w:pPr>
            <w:r>
              <w:rPr>
                <w:sz w:val="18"/>
                <w:szCs w:val="18"/>
              </w:rPr>
              <w:t xml:space="preserve">Moderate</w:t>
            </w:r>
          </w:p>
        </w:tc>
        <w:tc>
          <w:tcPr>
            <w:tcW w:type="dxa" w:w="4660"/>
          </w:tcPr>
          <w:p>
            <w:pPr>
              <w:pStyle w:val="Compact"/>
              <w:jc w:val="left"/>
            </w:pPr>
            <w:r>
              <w:rPr>
                <w:sz w:val="18"/>
                <w:szCs w:val="18"/>
              </w:rPr>
              <w:t xml:space="preserve">Each pillar carries a committed minimum and an optional stronger version, so a difficult week costs sophistication rather than a component.</w:t>
            </w:r>
          </w:p>
        </w:tc>
      </w:tr>
    </w:tbl>
    <w:p>
      <w:pPr>
        <w:pStyle w:val="Heading2"/>
      </w:pPr>
      <w:bookmarkStart w:id="37" w:name="a8.-what-already-exists"/>
      <w:r>
        <w:t xml:space="preserve">A8. What already exists</w:t>
      </w:r>
      <w:bookmarkEnd w:id="37"/>
    </w:p>
    <w:p>
      <w:pPr>
        <w:pStyle w:val="FirstParagraph"/>
      </w:pPr>
      <w:r>
        <w:t xml:space="preserve">Complete and working before week 1.</w:t>
      </w:r>
    </w:p>
    <w:p>
      <w:pPr>
        <w:numPr>
          <w:ilvl w:val="0"/>
          <w:numId w:val="1001"/>
        </w:numPr>
        <w:pStyle w:val="Compact"/>
      </w:pPr>
      <w:r>
        <w:t xml:space="preserve">A registered model in MLflow with version, step, and checksum, trained by transfer learning from the SuPreM pretrained checkpoint.</w:t>
      </w:r>
    </w:p>
    <w:p>
      <w:pPr>
        <w:numPr>
          <w:ilvl w:val="0"/>
          <w:numId w:val="1001"/>
        </w:numPr>
        <w:pStyle w:val="Compact"/>
      </w:pPr>
      <w:r>
        <w:t xml:space="preserve">Evaluation on the official 901-scan held-out test set: lesion Dice 0.474 (95% CI 0.42–0.52), pancreas Dice 0.827, detection sensitivity 96%, specificity 17%, patient-level AUC 0.804. These are provided-region results and are reported as such.</w:t>
      </w:r>
    </w:p>
    <w:p>
      <w:pPr>
        <w:numPr>
          <w:ilvl w:val="0"/>
          <w:numId w:val="1001"/>
        </w:numPr>
        <w:pStyle w:val="Compact"/>
      </w:pPr>
      <w:r>
        <w:t xml:space="preserve">A FastAPI inference service and a React and NiiVue review interface with prediction overlays and 3D reconstruction.</w:t>
      </w:r>
    </w:p>
    <w:p>
      <w:pPr>
        <w:numPr>
          <w:ilvl w:val="0"/>
          <w:numId w:val="1001"/>
        </w:numPr>
        <w:pStyle w:val="Compact"/>
      </w:pPr>
      <w:r>
        <w:t xml:space="preserve">Twenty-seven pre-registered experiments with recorded accept or reject decisions, including two rejections and one withdrawn result.</w:t>
      </w:r>
    </w:p>
    <w:p>
      <w:pPr>
        <w:numPr>
          <w:ilvl w:val="0"/>
          <w:numId w:val="1001"/>
        </w:numPr>
        <w:pStyle w:val="Compact"/>
      </w:pPr>
      <w:r>
        <w:t xml:space="preserve">A localize-then-segment cascade that runs end to end, measured once at 98% tumor coverage from the predicted region.</w:t>
      </w:r>
    </w:p>
    <w:p>
      <w:pPr>
        <w:numPr>
          <w:ilvl w:val="0"/>
          <w:numId w:val="1001"/>
        </w:numPr>
        <w:pStyle w:val="Compact"/>
      </w:pPr>
      <w:r>
        <w:t xml:space="preserve">Two independent adversarial code audits, one of which found the validation leak described in A3.</w:t>
      </w:r>
    </w:p>
    <w:p>
      <w:pPr>
        <w:pStyle w:val="Heading3"/>
      </w:pPr>
      <w:bookmarkStart w:id="38" w:name="a8.1-what-is-reused-and-what-is-new"/>
      <w:r>
        <w:t xml:space="preserve">A8.1 What is reused and what is new</w:t>
      </w:r>
      <w:bookmarkEnd w:id="38"/>
    </w:p>
    <w:p>
      <w:pPr>
        <w:pStyle w:val="FirstParagraph"/>
      </w:pPr>
      <w:r>
        <w:t xml:space="preserve">The preceding project supplies working machinery; the capstone supplies what that machinery could not do.</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3171"/>
        <w:gridCol w:w="3221"/>
        <w:gridCol w:w="2968"/>
      </w:tblGrid>
      <w:tr>
        <w:trPr>
          <w:cnfStyle w:firstRow="1"/>
          <w:cantSplit/>
          <w:tblHeader/>
        </w:trPr>
        <w:tc>
          <w:tcPr>
            <w:tcW w:type="dxa" w:w="3171"/>
            <w:tcBorders>
              <w:bottom w:val="single"/>
            </w:tcBorders>
            <w:vAlign w:val="bottom"/>
          </w:tcPr>
          <w:p>
            <w:pPr>
              <w:pStyle w:val="Compact"/>
              <w:jc w:val="left"/>
            </w:pPr>
            <w:r>
              <w:rPr>
                <w:sz w:val="18"/>
                <w:szCs w:val="18"/>
              </w:rPr>
              <w:t xml:space="preserve">reused as-is</w:t>
            </w:r>
          </w:p>
        </w:tc>
        <w:tc>
          <w:tcPr>
            <w:tcW w:type="dxa" w:w="3221"/>
            <w:tcBorders>
              <w:bottom w:val="single"/>
            </w:tcBorders>
            <w:vAlign w:val="bottom"/>
          </w:tcPr>
          <w:p>
            <w:pPr>
              <w:pStyle w:val="Compact"/>
              <w:jc w:val="left"/>
            </w:pPr>
            <w:r>
              <w:rPr>
                <w:sz w:val="18"/>
                <w:szCs w:val="18"/>
              </w:rPr>
              <w:t xml:space="preserve">adapted</w:t>
            </w:r>
          </w:p>
        </w:tc>
        <w:tc>
          <w:tcPr>
            <w:tcW w:type="dxa" w:w="2968"/>
            <w:tcBorders>
              <w:bottom w:val="single"/>
            </w:tcBorders>
            <w:vAlign w:val="bottom"/>
          </w:tcPr>
          <w:p>
            <w:pPr>
              <w:pStyle w:val="Compact"/>
              <w:jc w:val="left"/>
            </w:pPr>
            <w:r>
              <w:rPr>
                <w:sz w:val="18"/>
                <w:szCs w:val="18"/>
              </w:rPr>
              <w:t xml:space="preserve">new</w:t>
            </w:r>
          </w:p>
        </w:tc>
      </w:tr>
      <w:tr>
        <w:trPr>
          <w:cantSplit/>
        </w:trPr>
        <w:tc>
          <w:tcPr>
            <w:tcW w:type="dxa" w:w="3171"/>
          </w:tcPr>
          <w:p>
            <w:pPr>
              <w:pStyle w:val="Compact"/>
              <w:jc w:val="left"/>
            </w:pPr>
            <w:r>
              <w:rPr>
                <w:sz w:val="18"/>
                <w:szCs w:val="18"/>
              </w:rPr>
              <w:t xml:space="preserve">SegResNet architecture, SuPreM transfer</w:t>
            </w:r>
          </w:p>
        </w:tc>
        <w:tc>
          <w:tcPr>
            <w:tcW w:type="dxa" w:w="3221"/>
          </w:tcPr>
          <w:p>
            <w:pPr>
              <w:pStyle w:val="Compact"/>
              <w:jc w:val="left"/>
            </w:pPr>
            <w:r>
              <w:rPr>
                <w:sz w:val="18"/>
                <w:szCs w:val="18"/>
              </w:rPr>
              <w:t xml:space="preserve">preprocessing — two label conventions and provenance rather than one</w:t>
            </w:r>
          </w:p>
        </w:tc>
        <w:tc>
          <w:tcPr>
            <w:tcW w:type="dxa" w:w="2968"/>
          </w:tcPr>
          <w:p>
            <w:pPr>
              <w:pStyle w:val="Compact"/>
              <w:jc w:val="left"/>
            </w:pPr>
            <w:r>
              <w:rPr>
                <w:sz w:val="18"/>
                <w:szCs w:val="18"/>
              </w:rPr>
              <w:t xml:space="preserve">relational schema and vector store</w:t>
            </w:r>
          </w:p>
        </w:tc>
      </w:tr>
      <w:tr>
        <w:trPr>
          <w:cantSplit/>
        </w:trPr>
        <w:tc>
          <w:tcPr>
            <w:tcW w:type="dxa" w:w="3171"/>
          </w:tcPr>
          <w:p>
            <w:pPr>
              <w:pStyle w:val="Compact"/>
              <w:jc w:val="left"/>
            </w:pPr>
            <w:r>
              <w:rPr>
                <w:sz w:val="18"/>
                <w:szCs w:val="18"/>
              </w:rPr>
              <w:t xml:space="preserve">training loop, checkpointing, resume</w:t>
            </w:r>
          </w:p>
        </w:tc>
        <w:tc>
          <w:tcPr>
            <w:tcW w:type="dxa" w:w="3221"/>
          </w:tcPr>
          <w:p>
            <w:pPr>
              <w:pStyle w:val="Compact"/>
              <w:jc w:val="left"/>
            </w:pPr>
            <w:r>
              <w:rPr>
                <w:sz w:val="18"/>
                <w:szCs w:val="18"/>
              </w:rPr>
              <w:t xml:space="preserve">data loading — database queries rather than a manifest file</w:t>
            </w:r>
          </w:p>
        </w:tc>
        <w:tc>
          <w:tcPr>
            <w:tcW w:type="dxa" w:w="2968"/>
          </w:tcPr>
          <w:p>
            <w:pPr>
              <w:pStyle w:val="Compact"/>
              <w:jc w:val="left"/>
            </w:pPr>
            <w:r>
              <w:rPr>
                <w:sz w:val="18"/>
                <w:szCs w:val="18"/>
              </w:rPr>
              <w:t xml:space="preserve">entity resolution and duplicate detection</w:t>
            </w:r>
          </w:p>
        </w:tc>
      </w:tr>
      <w:tr>
        <w:trPr>
          <w:cantSplit/>
        </w:trPr>
        <w:tc>
          <w:tcPr>
            <w:tcW w:type="dxa" w:w="3171"/>
          </w:tcPr>
          <w:p>
            <w:pPr>
              <w:pStyle w:val="Compact"/>
              <w:jc w:val="left"/>
            </w:pPr>
            <w:r>
              <w:rPr>
                <w:sz w:val="18"/>
                <w:szCs w:val="18"/>
              </w:rPr>
              <w:t xml:space="preserve">MLflow tracking and model registry</w:t>
            </w:r>
          </w:p>
        </w:tc>
        <w:tc>
          <w:tcPr>
            <w:tcW w:type="dxa" w:w="3221"/>
          </w:tcPr>
          <w:p>
            <w:pPr>
              <w:pStyle w:val="Compact"/>
              <w:jc w:val="left"/>
            </w:pPr>
            <w:r>
              <w:rPr>
                <w:sz w:val="18"/>
                <w:szCs w:val="18"/>
              </w:rPr>
              <w:t xml:space="preserve">cohorts — constrained tables rather than text files</w:t>
            </w:r>
          </w:p>
        </w:tc>
        <w:tc>
          <w:tcPr>
            <w:tcW w:type="dxa" w:w="2968"/>
          </w:tcPr>
          <w:p>
            <w:pPr>
              <w:pStyle w:val="Compact"/>
              <w:jc w:val="left"/>
            </w:pPr>
            <w:r>
              <w:rPr>
                <w:sz w:val="18"/>
                <w:szCs w:val="18"/>
              </w:rPr>
              <w:t xml:space="preserve">tumor-presence gate</w:t>
            </w:r>
          </w:p>
        </w:tc>
      </w:tr>
      <w:tr>
        <w:trPr>
          <w:cantSplit/>
        </w:trPr>
        <w:tc>
          <w:tcPr>
            <w:tcW w:type="dxa" w:w="3171"/>
          </w:tcPr>
          <w:p>
            <w:pPr>
              <w:pStyle w:val="Compact"/>
              <w:jc w:val="left"/>
            </w:pPr>
            <w:r>
              <w:rPr>
                <w:sz w:val="18"/>
                <w:szCs w:val="18"/>
              </w:rPr>
              <w:t xml:space="preserve">sliding-window inference</w:t>
            </w:r>
          </w:p>
        </w:tc>
        <w:tc>
          <w:tcPr>
            <w:tcW w:type="dxa" w:w="3221"/>
          </w:tcPr>
          <w:p>
            <w:pPr>
              <w:pStyle w:val="Compact"/>
              <w:jc w:val="left"/>
            </w:pPr>
            <w:r>
              <w:rPr>
                <w:sz w:val="18"/>
                <w:szCs w:val="18"/>
              </w:rPr>
              <w:t xml:space="preserve">inference entry — predicted region rather than a provided one</w:t>
            </w:r>
          </w:p>
        </w:tc>
        <w:tc>
          <w:tcPr>
            <w:tcW w:type="dxa" w:w="2968"/>
          </w:tcPr>
          <w:p>
            <w:pPr>
              <w:pStyle w:val="Compact"/>
              <w:jc w:val="left"/>
            </w:pPr>
            <w:r>
              <w:rPr>
                <w:sz w:val="18"/>
                <w:szCs w:val="18"/>
              </w:rPr>
              <w:t xml:space="preserve">literature corpus, embedding, retrieval index</w:t>
            </w:r>
          </w:p>
        </w:tc>
      </w:tr>
      <w:tr>
        <w:trPr>
          <w:cantSplit/>
        </w:trPr>
        <w:tc>
          <w:tcPr>
            <w:tcW w:type="dxa" w:w="3171"/>
          </w:tcPr>
          <w:p>
            <w:pPr>
              <w:pStyle w:val="Compact"/>
              <w:jc w:val="left"/>
            </w:pPr>
            <w:r>
              <w:rPr>
                <w:sz w:val="18"/>
                <w:szCs w:val="18"/>
              </w:rPr>
              <w:t xml:space="preserve">evaluation harness: sweeps, bootstrap intervals, per-case analysis</w:t>
            </w:r>
          </w:p>
        </w:tc>
        <w:tc>
          <w:tcPr>
            <w:tcW w:type="dxa" w:w="3221"/>
          </w:tcPr>
          <w:p/>
        </w:tc>
        <w:tc>
          <w:tcPr>
            <w:tcW w:type="dxa" w:w="2968"/>
          </w:tcPr>
          <w:p>
            <w:pPr>
              <w:pStyle w:val="Compact"/>
              <w:jc w:val="left"/>
            </w:pPr>
            <w:r>
              <w:rPr>
                <w:sz w:val="18"/>
                <w:szCs w:val="18"/>
              </w:rPr>
              <w:t xml:space="preserve">grounded assistant with cite-or-refuse</w:t>
            </w:r>
          </w:p>
        </w:tc>
      </w:tr>
      <w:tr>
        <w:trPr>
          <w:cantSplit/>
        </w:trPr>
        <w:tc>
          <w:tcPr>
            <w:tcW w:type="dxa" w:w="3171"/>
          </w:tcPr>
          <w:p>
            <w:pPr>
              <w:pStyle w:val="Compact"/>
              <w:jc w:val="left"/>
            </w:pPr>
            <w:r>
              <w:rPr>
                <w:sz w:val="18"/>
                <w:szCs w:val="18"/>
              </w:rPr>
              <w:t xml:space="preserve">FastAPI service, React and NiiVue viewer</w:t>
            </w:r>
          </w:p>
        </w:tc>
        <w:tc>
          <w:tcPr>
            <w:tcW w:type="dxa" w:w="3221"/>
          </w:tcPr>
          <w:p/>
        </w:tc>
        <w:tc>
          <w:tcPr>
            <w:tcW w:type="dxa" w:w="2968"/>
          </w:tcPr>
          <w:p>
            <w:pPr>
              <w:pStyle w:val="Compact"/>
              <w:jc w:val="left"/>
            </w:pPr>
            <w:r>
              <w:rPr>
                <w:sz w:val="18"/>
                <w:szCs w:val="18"/>
              </w:rPr>
              <w:t xml:space="preserve">arrival-triggered automation, worklist, review persistence</w:t>
            </w:r>
          </w:p>
        </w:tc>
      </w:tr>
    </w:tbl>
    <w:p>
      <w:pPr>
        <w:pStyle w:val="BodyText"/>
      </w:pPr>
      <w:r>
        <w:t xml:space="preserve">The reused column is scaffolding. It is why ten weeks is realistic — no time goes into rebuilding a training loop — but none of it answers the question the capstone asks, which is whether the system works without a human supplying the region of interest.</w:t>
      </w:r>
    </w:p>
    <w:p>
      <w:pPr>
        <w:pStyle w:val="Heading2"/>
      </w:pPr>
      <w:bookmarkStart w:id="39" w:name="a9.-data-use-licensing-and-attribution"/>
      <w:r>
        <w:t xml:space="preserve">A9. Data use, licensing, and attribution</w:t>
      </w:r>
      <w:bookmarkEnd w:id="39"/>
    </w:p>
    <w:p>
      <w:pPr>
        <w:pStyle w:val="FirstParagraph"/>
      </w:pPr>
      <w:r>
        <w:t xml:space="preserve">Both datasets are non-commercial. Compatible with each other and with an academic capstone;</w:t>
      </w:r>
      <w:r>
        <w:t xml:space="preserve"> </w:t>
      </w:r>
      <w:r>
        <w:rPr>
          <w:b/>
        </w:rPr>
        <w:t xml:space="preserve">the system cannot be commercialized as built.</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6148"/>
        <w:gridCol w:w="3212"/>
      </w:tblGrid>
      <w:tr>
        <w:trPr>
          <w:cnfStyle w:firstRow="1"/>
          <w:cantSplit/>
          <w:tblHeader/>
        </w:trPr>
        <w:tc>
          <w:tcPr>
            <w:tcW w:type="dxa" w:w="6148"/>
            <w:tcBorders>
              <w:bottom w:val="single"/>
            </w:tcBorders>
            <w:vAlign w:val="bottom"/>
          </w:tcPr>
          <w:p>
            <w:pPr>
              <w:pStyle w:val="Compact"/>
              <w:jc w:val="left"/>
            </w:pPr>
            <w:r>
              <w:rPr>
                <w:sz w:val="18"/>
                <w:szCs w:val="18"/>
              </w:rPr>
              <w:t xml:space="preserve">dataset</w:t>
            </w:r>
          </w:p>
        </w:tc>
        <w:tc>
          <w:tcPr>
            <w:tcW w:type="dxa" w:w="3212"/>
            <w:tcBorders>
              <w:bottom w:val="single"/>
            </w:tcBorders>
            <w:vAlign w:val="bottom"/>
          </w:tcPr>
          <w:p>
            <w:pPr>
              <w:pStyle w:val="Compact"/>
              <w:jc w:val="left"/>
            </w:pPr>
            <w:r>
              <w:rPr>
                <w:sz w:val="18"/>
                <w:szCs w:val="18"/>
              </w:rPr>
              <w:t xml:space="preserve">license</w:t>
            </w:r>
          </w:p>
        </w:tc>
      </w:tr>
      <w:tr>
        <w:trPr>
          <w:cantSplit/>
        </w:trPr>
        <w:tc>
          <w:tcPr>
            <w:tcW w:type="dxa" w:w="6148"/>
          </w:tcPr>
          <w:p>
            <w:pPr>
              <w:pStyle w:val="Compact"/>
              <w:jc w:val="left"/>
            </w:pPr>
            <w:r>
              <w:rPr>
                <w:sz w:val="18"/>
                <w:szCs w:val="18"/>
              </w:rPr>
              <w:t xml:space="preserve">PanTS — 9,901 public training scans</w:t>
            </w:r>
          </w:p>
        </w:tc>
        <w:tc>
          <w:tcPr>
            <w:tcW w:type="dxa" w:w="3212"/>
          </w:tcPr>
          <w:p>
            <w:pPr>
              <w:pStyle w:val="Compact"/>
              <w:jc w:val="left"/>
            </w:pPr>
            <w:r>
              <w:rPr>
                <w:sz w:val="18"/>
                <w:szCs w:val="18"/>
              </w:rPr>
              <w:t xml:space="preserve">non-commercial</w:t>
            </w:r>
          </w:p>
        </w:tc>
      </w:tr>
      <w:tr>
        <w:trPr>
          <w:cantSplit/>
        </w:trPr>
        <w:tc>
          <w:tcPr>
            <w:tcW w:type="dxa" w:w="6148"/>
          </w:tcPr>
          <w:p>
            <w:pPr>
              <w:pStyle w:val="Compact"/>
              <w:jc w:val="left"/>
            </w:pPr>
            <w:r>
              <w:rPr>
                <w:sz w:val="18"/>
                <w:szCs w:val="18"/>
              </w:rPr>
              <w:t xml:space="preserve">PANORAMA — public training and development set</w:t>
            </w:r>
          </w:p>
        </w:tc>
        <w:tc>
          <w:tcPr>
            <w:tcW w:type="dxa" w:w="3212"/>
          </w:tcPr>
          <w:p>
            <w:pPr>
              <w:pStyle w:val="Compact"/>
              <w:jc w:val="left"/>
            </w:pPr>
            <w:r>
              <w:rPr>
                <w:sz w:val="18"/>
                <w:szCs w:val="18"/>
              </w:rPr>
              <w:t xml:space="preserve">CC BY-NC 4.0</w:t>
            </w:r>
          </w:p>
        </w:tc>
      </w:tr>
    </w:tbl>
    <w:p>
      <w:pPr>
        <w:pStyle w:val="BodyText"/>
      </w:pPr>
      <w:r>
        <w:rPr>
          <w:b/>
        </w:rPr>
        <w:t xml:space="preserve">Required citations.</w:t>
      </w:r>
    </w:p>
    <w:p>
      <w:pPr>
        <w:pStyle w:val="BlockText"/>
      </w:pPr>
      <w:r>
        <w:t xml:space="preserve">Alves, N., Schuurmans, M., Rutkowski, D., Yakar, D., Haldorsen, I., Liedenbaum, M., Molven, A., Vendittelli, P., Litjens, G., Hermans, J., &amp; Huisman, H. (2024).</w:t>
      </w:r>
      <w:r>
        <w:t xml:space="preserve"> </w:t>
      </w:r>
      <w:r>
        <w:rPr>
          <w:i/>
        </w:rPr>
        <w:t xml:space="preserve">The PANORAMA Study Protocol: Pancreatic Cancer Diagnosis — Radiologists Meet AI.</w:t>
      </w:r>
      <w:r>
        <w:t xml:space="preserve"> </w:t>
      </w:r>
      <w:r>
        <w:t xml:space="preserve">Zenodo. doi:10.5281/zenodo.10599559</w:t>
      </w:r>
    </w:p>
    <w:p>
      <w:pPr>
        <w:pStyle w:val="BlockText"/>
      </w:pPr>
      <w:r>
        <w:t xml:space="preserve">Li, W., Zhou, X., Chen, Q., Lin, T., Bassi, P.R.A.S., et al., Yuille, A.L., &amp; Zhou, Z. (2025).</w:t>
      </w:r>
      <w:r>
        <w:t xml:space="preserve"> </w:t>
      </w:r>
      <w:r>
        <w:rPr>
          <w:i/>
        </w:rPr>
        <w:t xml:space="preserve">PanTS: The Pancreatic Tumor Segmentation Dataset.</w:t>
      </w:r>
      <w:r>
        <w:t xml:space="preserve"> </w:t>
      </w:r>
      <w:r>
        <w:t xml:space="preserve">NeurIPS 2025 Datasets and Benchmarks Track. arXiv:2507.01291</w:t>
      </w:r>
    </w:p>
    <w:p>
      <w:pPr>
        <w:pStyle w:val="BlockText"/>
      </w:pPr>
      <w:r>
        <w:t xml:space="preserve">Patterson, J. (2025).</w:t>
      </w:r>
      <w:r>
        <w:t xml:space="preserve"> </w:t>
      </w:r>
      <w:r>
        <w:rPr>
          <w:i/>
        </w:rPr>
        <w:t xml:space="preserve">Hold On to Your PanTS — There’s a New Pancreatic Cancer Detection Dataset in Town.</w:t>
      </w:r>
      <w:r>
        <w:t xml:space="preserve"> </w:t>
      </w:r>
      <w:r>
        <w:t xml:space="preserve">Johns Hopkins Whiting School of Engineering.</w:t>
      </w:r>
    </w:p>
    <w:p>
      <w:pPr>
        <w:pStyle w:val="FirstParagraph"/>
      </w:pPr>
      <w:r>
        <w:t xml:space="preserve">Also cited where relevant:</w:t>
      </w:r>
      <w:r>
        <w:t xml:space="preserve"> </w:t>
      </w:r>
      <w:r>
        <w:rPr>
          <w:b/>
        </w:rPr>
        <w:t xml:space="preserve">SuPreM</w:t>
      </w:r>
      <w:r>
        <w:t xml:space="preserve"> </w:t>
      </w:r>
      <w:r>
        <w:t xml:space="preserve">(arXiv:2501.11253), the pretrained checkpoint being fine-tuned;</w:t>
      </w:r>
      <w:r>
        <w:t xml:space="preserve"> </w:t>
      </w:r>
      <w:r>
        <w:rPr>
          <w:b/>
        </w:rPr>
        <w:t xml:space="preserve">Alves et al.</w:t>
      </w:r>
      <w:r>
        <w:t xml:space="preserve"> </w:t>
      </w:r>
      <w:r>
        <w:t xml:space="preserve">(PMID 35053538), the algorithm that generated PANORAMA’s automatic masks; the</w:t>
      </w:r>
      <w:r>
        <w:t xml:space="preserve"> </w:t>
      </w:r>
      <w:r>
        <w:rPr>
          <w:b/>
        </w:rPr>
        <w:t xml:space="preserve">Medical Segmentation Decathlon</w:t>
      </w:r>
      <w:r>
        <w:t xml:space="preserve"> </w:t>
      </w:r>
      <w:r>
        <w:t xml:space="preserve">(Antonelli et al., 2022, doi:10.1038/s41467-022-30695-9) where Task07 is discussed; and</w:t>
      </w:r>
      <w:r>
        <w:t xml:space="preserve"> </w:t>
      </w:r>
      <w:r>
        <w:rPr>
          <w:b/>
        </w:rPr>
        <w:t xml:space="preserve">Suman et al.</w:t>
      </w:r>
      <w:r>
        <w:t xml:space="preserve"> </w:t>
      </w:r>
      <w:r>
        <w:t xml:space="preserve">(PMID 33840636), source of the tumor split within the Decathlon import.</w:t>
      </w:r>
    </w:p>
    <w:p>
      <w:pPr>
        <w:pStyle w:val="BodyText"/>
      </w:pPr>
      <w:r>
        <w:rPr>
          <w:b/>
        </w:rPr>
        <w:t xml:space="preserve">Reproducibility note.</w:t>
      </w:r>
      <w:r>
        <w:t xml:space="preserve"> </w:t>
      </w:r>
      <w:r>
        <w:t xml:space="preserve">The PANORAMA labels repository is live and accepts community contributions of new expert delineations. The commit hash is pinned and recorded, or results are not reproducible. A minor upstream documentation error is noted for reporting: the README refers to</w:t>
      </w:r>
      <w:r>
        <w:t xml:space="preserve"> </w:t>
      </w:r>
      <w:r>
        <w:rPr>
          <w:rStyle w:val="VerbatimChar"/>
        </w:rPr>
        <w:t xml:space="preserve">clinical_information.csv</w:t>
      </w:r>
      <w:r>
        <w:t xml:space="preserve">; the file shipped is</w:t>
      </w:r>
      <w:r>
        <w:t xml:space="preserve"> </w:t>
      </w:r>
      <w:r>
        <w:rPr>
          <w:rStyle w:val="VerbatimChar"/>
        </w:rPr>
        <w:t xml:space="preserve">clinical_information.xlsx</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sz w:val="21"/>
        <w:szCs w:val="21"/>
        <w:sz w:val="20"/>
        <w:szCs w:val="20"/>
        <w:rFonts w:ascii="Times New Roman" w:hAnsi="Times New Roman" w:eastAsia="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0" w:after="110" w:line="240" w:lineRule="auto"/>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50" w:line="240" w:lineRule="auto"/>
    </w:pPr>
  </w:style>
  <w:style w:type="paragraph" w:styleId="Title">
    <w:name w:val="Title"/>
    <w:basedOn w:val="Normal"/>
    <w:next w:val="BodyText"/>
    <w:qFormat/>
    <w:pPr>
      <w:keepNext/>
      <w:keepLines/>
      <w:spacing w:before="0" w:after="120" w:line="240" w:lineRule="auto"/>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keepLines/>
      <w:spacing w:before="0" w:after="120" w:line="240" w:lineRule="auto"/>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90" w:line="240" w:lineRule="auto"/>
      <w:outlineLvl w:val="0"/>
    </w:pPr>
    <w:rPr>
      <w:rFonts w:ascii="Times New Roman" w:hAnsi="Times New Roman" w:eastAsia="Times New Roman" w:cs="Times New Roman"/>
      <w:b/>
      <w:bCs/>
      <w:color w:val="000000"/>
      <w:sz w:val="32"/>
      <w:szCs w:val="32"/>
    </w:rPr>
  </w:style>
  <w:style w:type="paragraph" w:styleId="Heading2">
    <w:name w:val="Heading 2"/>
    <w:basedOn w:val="Normal"/>
    <w:next w:val="BodyText"/>
    <w:uiPriority w:val="9"/>
    <w:unhideWhenUsed/>
    <w:qFormat/>
    <w:pPr>
      <w:keepNext/>
      <w:keepLines/>
      <w:spacing w:before="200" w:after="70" w:line="240" w:lineRule="auto"/>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uiPriority w:val="9"/>
    <w:unhideWhenUsed/>
    <w:qFormat/>
    <w:pPr>
      <w:keepNext/>
      <w:keepLines/>
      <w:spacing w:before="170" w:after="60" w:line="240" w:lineRule="auto"/>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eastAsia="Times New Roman" w:cs="Times New Roman"/>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eastAsia="Times New Roman" w:cs="Times New Roman"/>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eastAsia="Times New Roman" w:cs="Times New Roman"/>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eastAsia="Times New Roman" w:cs="Times New Roman"/>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60" w:after="160" w:line="240" w:lineRule="auto"/>
    </w:pPr>
    <w:rPr>
      <w:i/>
      <w:sz w:val="19"/>
      <w:szCs w:val="19"/>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eastAsia="Times New Roman" w:cs="Times New Roman"/>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2026-08-15T01:13:07Z</dcterms:created>
  <dcterms:modified xsi:type="dcterms:W3CDTF">2026-08-15T01:13:07Z</dcterms:modified>
</cp:coreProperties>
</file>

<file path=docProps/custom.xml><?xml version="1.0" encoding="utf-8"?>
<Properties xmlns="http://schemas.openxmlformats.org/officeDocument/2006/custom-properties" xmlns:vt="http://schemas.openxmlformats.org/officeDocument/2006/docPropsVTypes"/>
</file>