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rFonts w:ascii="Calibri" w:cs="Calibri" w:eastAsia="Calibri" w:hAnsi="Calibri"/>
          <w:b/>
          <w:bCs/>
          <w:color w:val="124A30"/>
          <w:sz w:val="52"/>
          <w:szCs w:val="52"/>
        </w:rPr>
        <w:t xml:space="preserve">Concurrentieanalyse: VestaAI vs. HousApp</w:t>
      </w:r>
    </w:p>
    <w:p>
      <w:pPr>
        <w:pBdr>
          <w:left w:val="single" w:color="1A6B45" w:sz="18" w:space="8"/>
        </w:pBdr>
        <w:spacing w:after="260"/>
        <w:ind w:left="200"/>
      </w:pPr>
      <w:r>
        <w:rPr>
          <w:rFonts w:ascii="Calibri" w:cs="Calibri" w:eastAsia="Calibri" w:hAnsi="Calibri"/>
          <w:i/>
          <w:iCs/>
          <w:color w:val="5A6B61"/>
          <w:sz w:val="21"/>
          <w:szCs w:val="21"/>
        </w:rPr>
        <w:t xml:space="preserve">Intern strategiedocument · 3 juli 2026 · Vertrouwelijk</w:t>
      </w:r>
    </w:p>
    <w:p>
      <w:pPr>
        <w:keepNext/>
        <w:pBdr>
          <w:bottom w:val="single" w:color="D5E3DA" w:sz="6" w:space="4"/>
        </w:pBdr>
        <w:spacing w:after="160" w:before="360"/>
      </w:pPr>
      <w:r>
        <w:rPr>
          <w:rFonts w:ascii="Calibri" w:cs="Calibri" w:eastAsia="Calibri" w:hAnsi="Calibri"/>
          <w:b/>
          <w:bCs/>
          <w:color w:val="1A6B45"/>
          <w:sz w:val="30"/>
          <w:szCs w:val="30"/>
        </w:rPr>
        <w:t xml:space="preserve">1. Managementsamenvatting</w:t>
      </w:r>
    </w:p>
    <w:p>
      <w:pPr>
        <w:spacing w:after="160" w:line="300"/>
      </w:pPr>
      <w:r>
        <w:rPr>
          <w:rFonts w:ascii="Calibri" w:cs="Calibri" w:eastAsia="Calibri" w:hAnsi="Calibri"/>
          <w:b/>
          <w:bCs/>
          <w:color w:val="1F2A24"/>
          <w:sz w:val="22"/>
          <w:szCs w:val="22"/>
        </w:rPr>
        <w:t xml:space="preserve">De kernconclusie: HousApp is vandaag geen directe concurrent, maar wel onze gevaarlijkste toekomstige concurrent.</w:t>
      </w:r>
      <w:r>
        <w:rPr>
          <w:rFonts w:ascii="Calibri" w:cs="Calibri" w:eastAsia="Calibri" w:hAnsi="Calibri"/>
          <w:color w:val="1F2A24"/>
          <w:sz w:val="22"/>
          <w:szCs w:val="22"/>
        </w:rPr>
        <w:t xml:space="preserve"> HousApp doet workflow (inbox, bezichtigingen plannen, leads opvolgen); VestaAI doet content (woningteksten, brochures, social media, foto's). De productoverlap is vandaag vrijwel nul. Maar HousApp heeft €4,3 miljoen funding, 2.200+ makelaars als klant, en de uitgesproken ambitie om "de plek te worden waar de makelaar álles regelt, van eerste verkopercontact tot closing". Contentgeneratie past exact in die ambitie, en met hun distributie kunnen ze een content-module in één klap bij duizenden makelaars uitrollen.</w:t>
      </w:r>
    </w:p>
    <w:p>
      <w:pPr>
        <w:spacing w:after="160" w:line="300"/>
      </w:pPr>
      <w:r>
        <w:rPr>
          <w:rFonts w:ascii="Calibri" w:cs="Calibri" w:eastAsia="Calibri" w:hAnsi="Calibri"/>
          <w:b/>
          <w:bCs/>
          <w:color w:val="1F2A24"/>
          <w:sz w:val="22"/>
          <w:szCs w:val="22"/>
        </w:rPr>
        <w:t xml:space="preserve">De strategische situatie in drie zinnen:</w:t>
      </w:r>
    </w:p>
    <w:p>
      <w:pPr>
        <w:pStyle w:val="ListParagraph"/>
        <w:numPr>
          <w:ilvl w:val="0"/>
          <w:numId w:val="1"/>
        </w:numPr>
        <w:spacing w:after="80" w:line="290"/>
      </w:pPr>
      <w:r>
        <w:rPr>
          <w:rFonts w:ascii="Calibri" w:cs="Calibri" w:eastAsia="Calibri" w:hAnsi="Calibri"/>
          <w:color w:val="1F2A24"/>
          <w:sz w:val="22"/>
          <w:szCs w:val="22"/>
        </w:rPr>
        <w:t xml:space="preserve">Op content concurreren we vandaag met Huistekst, Makelaartoolkit en losse ChatGPT-gebruik — allemaal smaller en zwakker dan onze suite. Daar winnen we op breedte, data-verrijking en huisstijlgeheugen.</w:t>
      </w:r>
    </w:p>
    <w:p>
      <w:pPr>
        <w:pStyle w:val="ListParagraph"/>
        <w:numPr>
          <w:ilvl w:val="0"/>
          <w:numId w:val="1"/>
        </w:numPr>
        <w:spacing w:after="80" w:line="290"/>
      </w:pPr>
      <w:r>
        <w:rPr>
          <w:rFonts w:ascii="Calibri" w:cs="Calibri" w:eastAsia="Calibri" w:hAnsi="Calibri"/>
          <w:color w:val="1F2A24"/>
          <w:sz w:val="22"/>
          <w:szCs w:val="22"/>
        </w:rPr>
        <w:t xml:space="preserve">HousApp bewijst dat de markt klaar is voor AI-tools én dat makelaars bereid zijn €69–167 per makelaar per maand te betalen. Dat valideert onze prijsstelling ruimschoots.</w:t>
      </w:r>
    </w:p>
    <w:p>
      <w:pPr>
        <w:pStyle w:val="ListParagraph"/>
        <w:numPr>
          <w:ilvl w:val="0"/>
          <w:numId w:val="1"/>
        </w:numPr>
        <w:spacing w:after="80" w:line="290"/>
      </w:pPr>
      <w:r>
        <w:rPr>
          <w:rFonts w:ascii="Calibri" w:cs="Calibri" w:eastAsia="Calibri" w:hAnsi="Calibri"/>
          <w:color w:val="1F2A24"/>
          <w:sz w:val="22"/>
          <w:szCs w:val="22"/>
        </w:rPr>
        <w:t xml:space="preserve">Onze verdediging tegen een toekomstige HousApp-contentmodule is snelheid: nú een loyale klantenbasis met huisstijl-lock-in opbouwen, vóórdat zij die kant op bewegen.</w:t>
      </w:r>
    </w:p>
    <w:p>
      <w:pPr>
        <w:spacing w:after="160" w:line="300"/>
      </w:pPr>
      <w:r>
        <w:rPr>
          <w:rFonts w:ascii="Calibri" w:cs="Calibri" w:eastAsia="Calibri" w:hAnsi="Calibri"/>
          <w:b/>
          <w:bCs/>
          <w:color w:val="1F2A24"/>
          <w:sz w:val="22"/>
          <w:szCs w:val="22"/>
        </w:rPr>
        <w:t xml:space="preserve">Top 5 acties (prioriteitsvolgorde):</w:t>
      </w:r>
    </w:p>
    <w:p>
      <w:pPr>
        <w:pStyle w:val="ListParagraph"/>
        <w:numPr>
          <w:ilvl w:val="0"/>
          <w:numId w:val="2"/>
        </w:numPr>
        <w:spacing w:after="100" w:line="290"/>
      </w:pPr>
      <w:r>
        <w:rPr>
          <w:rFonts w:ascii="Calibri" w:cs="Calibri" w:eastAsia="Calibri" w:hAnsi="Calibri"/>
          <w:b/>
          <w:bCs/>
          <w:color w:val="1F2A24"/>
          <w:sz w:val="22"/>
          <w:szCs w:val="22"/>
        </w:rPr>
        <w:t xml:space="preserve">Product waterdicht maken</w:t>
      </w:r>
      <w:r>
        <w:rPr>
          <w:rFonts w:ascii="Calibri" w:cs="Calibri" w:eastAsia="Calibri" w:hAnsi="Calibri"/>
          <w:color w:val="1F2A24"/>
          <w:sz w:val="22"/>
          <w:szCs w:val="22"/>
        </w:rPr>
        <w:t xml:space="preserve"> — de generate-time-out (Vercel 504) fixen en outputkwaliteit valideren. Zonder betrouwbaar kernproduct is elke concurrentiestrategie zinloos.</w:t>
      </w:r>
    </w:p>
    <w:p>
      <w:pPr>
        <w:pStyle w:val="ListParagraph"/>
        <w:numPr>
          <w:ilvl w:val="0"/>
          <w:numId w:val="2"/>
        </w:numPr>
        <w:spacing w:after="100" w:line="290"/>
      </w:pPr>
      <w:r>
        <w:rPr>
          <w:rFonts w:ascii="Calibri" w:cs="Calibri" w:eastAsia="Calibri" w:hAnsi="Calibri"/>
          <w:b/>
          <w:bCs/>
          <w:color w:val="1F2A24"/>
          <w:sz w:val="22"/>
          <w:szCs w:val="22"/>
        </w:rPr>
        <w:t xml:space="preserve">Social proof bouwen</w:t>
      </w:r>
      <w:r>
        <w:rPr>
          <w:rFonts w:ascii="Calibri" w:cs="Calibri" w:eastAsia="Calibri" w:hAnsi="Calibri"/>
          <w:color w:val="1F2A24"/>
          <w:sz w:val="22"/>
          <w:szCs w:val="22"/>
        </w:rPr>
        <w:t xml:space="preserve"> — HousApp toont negen klanten met naam en kantoor; wij nul. De pilotmakelaar converteren naar testimonial + casestudy is de belangrijkste marketingactie.</w:t>
      </w:r>
    </w:p>
    <w:p>
      <w:pPr>
        <w:pStyle w:val="ListParagraph"/>
        <w:numPr>
          <w:ilvl w:val="0"/>
          <w:numId w:val="2"/>
        </w:numPr>
        <w:spacing w:after="100" w:line="290"/>
      </w:pPr>
      <w:r>
        <w:rPr>
          <w:rFonts w:ascii="Calibri" w:cs="Calibri" w:eastAsia="Calibri" w:hAnsi="Calibri"/>
          <w:b/>
          <w:bCs/>
          <w:color w:val="1F2A24"/>
          <w:sz w:val="22"/>
          <w:szCs w:val="22"/>
        </w:rPr>
        <w:t xml:space="preserve">Echte CRM-koppelingen (Realworks, Kolibri)</w:t>
      </w:r>
      <w:r>
        <w:rPr>
          <w:rFonts w:ascii="Calibri" w:cs="Calibri" w:eastAsia="Calibri" w:hAnsi="Calibri"/>
          <w:color w:val="1F2A24"/>
          <w:sz w:val="22"/>
          <w:szCs w:val="22"/>
        </w:rPr>
        <w:t xml:space="preserve"> — HousApp gebruikt deze integraties als lock-in en distributiekanaal. Onze Realworks XML-export is een begin; een echte API-koppeling maakt VestaAI onderdeel van de dagelijkse workflow.</w:t>
      </w:r>
    </w:p>
    <w:p>
      <w:pPr>
        <w:pStyle w:val="ListParagraph"/>
        <w:numPr>
          <w:ilvl w:val="0"/>
          <w:numId w:val="2"/>
        </w:numPr>
        <w:spacing w:after="100" w:line="290"/>
      </w:pPr>
      <w:r>
        <w:rPr>
          <w:rFonts w:ascii="Calibri" w:cs="Calibri" w:eastAsia="Calibri" w:hAnsi="Calibri"/>
          <w:b/>
          <w:bCs/>
          <w:color w:val="1F2A24"/>
          <w:sz w:val="22"/>
          <w:szCs w:val="22"/>
        </w:rPr>
        <w:t xml:space="preserve">Proefperiode heroverwegen</w:t>
      </w:r>
      <w:r>
        <w:rPr>
          <w:rFonts w:ascii="Calibri" w:cs="Calibri" w:eastAsia="Calibri" w:hAnsi="Calibri"/>
          <w:color w:val="1F2A24"/>
          <w:sz w:val="22"/>
          <w:szCs w:val="22"/>
        </w:rPr>
        <w:t xml:space="preserve"> — HousApp geeft 30 dagen gratis zonder verplichtingen; wij 14. Voor een conservatieve doelgroep is een langere, vrijblijvende proef een bewezen drempelverlager.</w:t>
      </w:r>
    </w:p>
    <w:p>
      <w:pPr>
        <w:pStyle w:val="ListParagraph"/>
        <w:numPr>
          <w:ilvl w:val="0"/>
          <w:numId w:val="2"/>
        </w:numPr>
        <w:spacing w:after="100" w:line="290"/>
      </w:pPr>
      <w:r>
        <w:rPr>
          <w:rFonts w:ascii="Calibri" w:cs="Calibri" w:eastAsia="Calibri" w:hAnsi="Calibri"/>
          <w:b/>
          <w:bCs/>
          <w:color w:val="1F2A24"/>
          <w:sz w:val="22"/>
          <w:szCs w:val="22"/>
        </w:rPr>
        <w:t xml:space="preserve">Vertrouwenspagina</w:t>
      </w:r>
      <w:r>
        <w:rPr>
          <w:rFonts w:ascii="Calibri" w:cs="Calibri" w:eastAsia="Calibri" w:hAnsi="Calibri"/>
          <w:color w:val="1F2A24"/>
          <w:sz w:val="22"/>
          <w:szCs w:val="22"/>
        </w:rPr>
        <w:t xml:space="preserve"> — HousApp adverteert SOC 2 Type 2, AVG-compliance en een verwerkersovereenkomst. Wij hebben minimaal een duidelijke AVG/verwerkersovereenkomst-pagina nodig om bij kantoren serieus genomen te worden.</w:t>
      </w:r>
    </w:p>
    <w:p>
      <w:pPr>
        <w:keepNext/>
        <w:pBdr>
          <w:bottom w:val="single" w:color="D5E3DA" w:sz="6" w:space="4"/>
        </w:pBdr>
        <w:spacing w:after="160" w:before="360"/>
      </w:pPr>
      <w:r>
        <w:rPr>
          <w:rFonts w:ascii="Calibri" w:cs="Calibri" w:eastAsia="Calibri" w:hAnsi="Calibri"/>
          <w:b/>
          <w:bCs/>
          <w:color w:val="1A6B45"/>
          <w:sz w:val="30"/>
          <w:szCs w:val="30"/>
        </w:rPr>
        <w:t xml:space="preserve">2. VestaAI vandaag: wat we werkelijk hebben</w:t>
      </w:r>
    </w:p>
    <w:p>
      <w:pPr>
        <w:spacing w:after="160" w:line="300"/>
      </w:pPr>
      <w:r>
        <w:rPr>
          <w:rFonts w:ascii="Calibri" w:cs="Calibri" w:eastAsia="Calibri" w:hAnsi="Calibri"/>
          <w:color w:val="1F2A24"/>
          <w:sz w:val="22"/>
          <w:szCs w:val="22"/>
        </w:rPr>
        <w:t xml:space="preserve">De interne documentatie onderschat het huidige product. Uit de codebase-inventarisatie (juli 2026) blijkt de volgende feature-set live of vrijwel live:</w:t>
      </w:r>
    </w:p>
    <w:p>
      <w:pPr>
        <w:keepNext/>
        <w:spacing w:after="100" w:before="240"/>
      </w:pPr>
      <w:r>
        <w:rPr>
          <w:rFonts w:ascii="Calibri" w:cs="Calibri" w:eastAsia="Calibri" w:hAnsi="Calibri"/>
          <w:b/>
          <w:bCs/>
          <w:color w:val="124A30"/>
          <w:sz w:val="24"/>
          <w:szCs w:val="24"/>
        </w:rPr>
        <w:t xml:space="preserve">Content-suite (kern)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800"/>
        <w:gridCol w:w="4800"/>
      </w:tblGrid>
      <w:tr>
        <w:trPr>
          <w:tblHeader/>
        </w:trPr>
        <w:tc>
          <w:tcPr>
            <w:tcBorders>
              <w:top w:val="single" w:color="D5E3DA" w:sz="4"/>
              <w:left w:val="single" w:color="D5E3DA" w:sz="4"/>
              <w:bottom w:val="single" w:color="D5E3DA" w:sz="4"/>
              <w:right w:val="single" w:color="D5E3DA" w:sz="4"/>
            </w:tcBorders>
            <w:shd w:fill="1A6B45"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Feature</w:t>
            </w:r>
          </w:p>
        </w:tc>
        <w:tc>
          <w:tcPr>
            <w:tcBorders>
              <w:top w:val="single" w:color="D5E3DA" w:sz="4"/>
              <w:left w:val="single" w:color="D5E3DA" w:sz="4"/>
              <w:bottom w:val="single" w:color="D5E3DA" w:sz="4"/>
              <w:right w:val="single" w:color="D5E3DA" w:sz="4"/>
            </w:tcBorders>
            <w:shd w:fill="1A6B45"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Status</w:t>
            </w:r>
          </w:p>
        </w:tc>
      </w:tr>
      <w:tr>
        <w:trPr>
          <w:tblHeader w:val="false"/>
        </w:trPr>
        <w:tc>
          <w:tcPr>
            <w:tcBorders>
              <w:top w:val="single" w:color="D5E3DA" w:sz="4"/>
              <w:left w:val="single" w:color="D5E3DA" w:sz="4"/>
              <w:bottom w:val="single" w:color="D5E3DA" w:sz="4"/>
              <w:right w:val="single" w:color="D5E3DA" w:sz="4"/>
            </w:tcBorders>
            <w:shd w:fill="F4F9F6" w:val="clear"/>
            <w:tcMar>
              <w:top w:type="dxa" w:w="80"/>
              <w:left w:type="dxa" w:w="120"/>
              <w:bottom w:type="dxa" w:w="80"/>
              <w:right w:type="dxa" w:w="120"/>
            </w:tcMar>
            <w:vAlign w:val="center"/>
          </w:tcPr>
          <w:p>
            <w:pPr>
              <w:spacing w:after="0"/>
            </w:pPr>
            <w:r>
              <w:rPr>
                <w:rFonts w:ascii="Calibri" w:cs="Calibri" w:eastAsia="Calibri" w:hAnsi="Calibri"/>
                <w:b w:val="false"/>
                <w:bCs w:val="false"/>
                <w:color w:val="1F2A24"/>
                <w:sz w:val="20"/>
                <w:szCs w:val="20"/>
              </w:rPr>
              <w:t xml:space="preserve">12 content-tabbladen: Funda, brochure (kort + lang), 3× Instagram, 2× LinkedIn, koper-e-mail, buurtomschrijving</w:t>
            </w:r>
          </w:p>
        </w:tc>
        <w:tc>
          <w:tcPr>
            <w:tcBorders>
              <w:top w:val="single" w:color="D5E3DA" w:sz="4"/>
              <w:left w:val="single" w:color="D5E3DA" w:sz="4"/>
              <w:bottom w:val="single" w:color="D5E3DA" w:sz="4"/>
              <w:right w:val="single" w:color="D5E3DA" w:sz="4"/>
            </w:tcBorders>
            <w:shd w:fill="F4F9F6" w:val="clear"/>
            <w:tcMar>
              <w:top w:type="dxa" w:w="80"/>
              <w:left w:type="dxa" w:w="120"/>
              <w:bottom w:type="dxa" w:w="80"/>
              <w:right w:type="dxa" w:w="120"/>
            </w:tcMar>
            <w:vAlign w:val="center"/>
          </w:tcPr>
          <w:p>
            <w:pPr>
              <w:spacing w:after="0"/>
            </w:pPr>
            <w:r>
              <w:rPr>
                <w:rFonts w:ascii="Calibri" w:cs="Calibri" w:eastAsia="Calibri" w:hAnsi="Calibri"/>
                <w:b w:val="false"/>
                <w:bCs w:val="false"/>
                <w:color w:val="1F2A24"/>
                <w:sz w:val="20"/>
                <w:szCs w:val="20"/>
              </w:rPr>
              <w:t xml:space="preserve">Live</w:t>
            </w:r>
          </w:p>
        </w:tc>
      </w:tr>
      <w:tr>
        <w:trPr>
          <w:tblHeader w:val="false"/>
        </w:trPr>
        <w:tc>
          <w:tcPr>
            <w:tcBorders>
              <w:top w:val="single" w:color="D5E3DA" w:sz="4"/>
              <w:left w:val="single" w:color="D5E3DA" w:sz="4"/>
              <w:bottom w:val="single" w:color="D5E3DA" w:sz="4"/>
              <w:right w:val="single" w:color="D5E3DA" w:sz="4"/>
            </w:tcBorders>
            <w:tcMar>
              <w:top w:type="dxa" w:w="80"/>
              <w:left w:type="dxa" w:w="120"/>
              <w:bottom w:type="dxa" w:w="80"/>
              <w:right w:type="dxa" w:w="120"/>
            </w:tcMar>
            <w:vAlign w:val="center"/>
          </w:tcPr>
          <w:p>
            <w:pPr>
              <w:spacing w:after="0"/>
            </w:pPr>
            <w:r>
              <w:rPr>
                <w:rFonts w:ascii="Calibri" w:cs="Calibri" w:eastAsia="Calibri" w:hAnsi="Calibri"/>
                <w:b w:val="false"/>
                <w:bCs w:val="false"/>
                <w:color w:val="1F2A24"/>
                <w:sz w:val="20"/>
                <w:szCs w:val="20"/>
              </w:rPr>
              <w:t xml:space="preserve">6 optionele extra's: open-huis-tekst, follow-up na bezichtiging (positief/negatief), videoscript, energieadvies, kopersvragen-FAQ, marktanalyse</w:t>
            </w:r>
          </w:p>
        </w:tc>
        <w:tc>
          <w:tcPr>
            <w:tcBorders>
              <w:top w:val="single" w:color="D5E3DA" w:sz="4"/>
              <w:left w:val="single" w:color="D5E3DA" w:sz="4"/>
              <w:bottom w:val="single" w:color="D5E3DA" w:sz="4"/>
              <w:right w:val="single" w:color="D5E3DA" w:sz="4"/>
            </w:tcBorders>
            <w:tcMar>
              <w:top w:type="dxa" w:w="80"/>
              <w:left w:type="dxa" w:w="120"/>
              <w:bottom w:type="dxa" w:w="80"/>
              <w:right w:type="dxa" w:w="120"/>
            </w:tcMar>
            <w:vAlign w:val="center"/>
          </w:tcPr>
          <w:p>
            <w:pPr>
              <w:spacing w:after="0"/>
            </w:pPr>
            <w:r>
              <w:rPr>
                <w:rFonts w:ascii="Calibri" w:cs="Calibri" w:eastAsia="Calibri" w:hAnsi="Calibri"/>
                <w:b w:val="false"/>
                <w:bCs w:val="false"/>
                <w:color w:val="1F2A24"/>
                <w:sz w:val="20"/>
                <w:szCs w:val="20"/>
              </w:rPr>
              <w:t xml:space="preserve">Live</w:t>
            </w:r>
          </w:p>
        </w:tc>
      </w:tr>
      <w:tr>
        <w:trPr>
          <w:tblHeader w:val="false"/>
        </w:trPr>
        <w:tc>
          <w:tcPr>
            <w:tcBorders>
              <w:top w:val="single" w:color="D5E3DA" w:sz="4"/>
              <w:left w:val="single" w:color="D5E3DA" w:sz="4"/>
              <w:bottom w:val="single" w:color="D5E3DA" w:sz="4"/>
              <w:right w:val="single" w:color="D5E3DA" w:sz="4"/>
            </w:tcBorders>
            <w:shd w:fill="F4F9F6" w:val="clear"/>
            <w:tcMar>
              <w:top w:type="dxa" w:w="80"/>
              <w:left w:type="dxa" w:w="120"/>
              <w:bottom w:type="dxa" w:w="80"/>
              <w:right w:type="dxa" w:w="120"/>
            </w:tcMar>
            <w:vAlign w:val="center"/>
          </w:tcPr>
          <w:p>
            <w:pPr>
              <w:spacing w:after="0"/>
            </w:pPr>
            <w:r>
              <w:rPr>
                <w:rFonts w:ascii="Calibri" w:cs="Calibri" w:eastAsia="Calibri" w:hAnsi="Calibri"/>
                <w:b w:val="false"/>
                <w:bCs w:val="false"/>
                <w:color w:val="1F2A24"/>
                <w:sz w:val="20"/>
                <w:szCs w:val="20"/>
              </w:rPr>
              <w:t xml:space="preserve">Tweetalig: Nederlands en Engels</w:t>
            </w:r>
          </w:p>
        </w:tc>
        <w:tc>
          <w:tcPr>
            <w:tcBorders>
              <w:top w:val="single" w:color="D5E3DA" w:sz="4"/>
              <w:left w:val="single" w:color="D5E3DA" w:sz="4"/>
              <w:bottom w:val="single" w:color="D5E3DA" w:sz="4"/>
              <w:right w:val="single" w:color="D5E3DA" w:sz="4"/>
            </w:tcBorders>
            <w:shd w:fill="F4F9F6" w:val="clear"/>
            <w:tcMar>
              <w:top w:type="dxa" w:w="80"/>
              <w:left w:type="dxa" w:w="120"/>
              <w:bottom w:type="dxa" w:w="80"/>
              <w:right w:type="dxa" w:w="120"/>
            </w:tcMar>
            <w:vAlign w:val="center"/>
          </w:tcPr>
          <w:p>
            <w:pPr>
              <w:spacing w:after="0"/>
            </w:pPr>
            <w:r>
              <w:rPr>
                <w:rFonts w:ascii="Calibri" w:cs="Calibri" w:eastAsia="Calibri" w:hAnsi="Calibri"/>
                <w:b w:val="false"/>
                <w:bCs w:val="false"/>
                <w:color w:val="1F2A24"/>
                <w:sz w:val="20"/>
                <w:szCs w:val="20"/>
              </w:rPr>
              <w:t xml:space="preserve">Live</w:t>
            </w:r>
          </w:p>
        </w:tc>
      </w:tr>
      <w:tr>
        <w:trPr>
          <w:tblHeader w:val="false"/>
        </w:trPr>
        <w:tc>
          <w:tcPr>
            <w:tcBorders>
              <w:top w:val="single" w:color="D5E3DA" w:sz="4"/>
              <w:left w:val="single" w:color="D5E3DA" w:sz="4"/>
              <w:bottom w:val="single" w:color="D5E3DA" w:sz="4"/>
              <w:right w:val="single" w:color="D5E3DA" w:sz="4"/>
            </w:tcBorders>
            <w:tcMar>
              <w:top w:type="dxa" w:w="80"/>
              <w:left w:type="dxa" w:w="120"/>
              <w:bottom w:type="dxa" w:w="80"/>
              <w:right w:type="dxa" w:w="120"/>
            </w:tcMar>
            <w:vAlign w:val="center"/>
          </w:tcPr>
          <w:p>
            <w:pPr>
              <w:spacing w:after="0"/>
            </w:pPr>
            <w:r>
              <w:rPr>
                <w:rFonts w:ascii="Calibri" w:cs="Calibri" w:eastAsia="Calibri" w:hAnsi="Calibri"/>
                <w:b w:val="false"/>
                <w:bCs w:val="false"/>
                <w:color w:val="1F2A24"/>
                <w:sz w:val="20"/>
                <w:szCs w:val="20"/>
              </w:rPr>
              <w:t xml:space="preserve">Herschrijfknop per veld + inline bewerken en opslaan</w:t>
            </w:r>
          </w:p>
        </w:tc>
        <w:tc>
          <w:tcPr>
            <w:tcBorders>
              <w:top w:val="single" w:color="D5E3DA" w:sz="4"/>
              <w:left w:val="single" w:color="D5E3DA" w:sz="4"/>
              <w:bottom w:val="single" w:color="D5E3DA" w:sz="4"/>
              <w:right w:val="single" w:color="D5E3DA" w:sz="4"/>
            </w:tcBorders>
            <w:tcMar>
              <w:top w:type="dxa" w:w="80"/>
              <w:left w:type="dxa" w:w="120"/>
              <w:bottom w:type="dxa" w:w="80"/>
              <w:right w:type="dxa" w:w="120"/>
            </w:tcMar>
            <w:vAlign w:val="center"/>
          </w:tcPr>
          <w:p>
            <w:pPr>
              <w:spacing w:after="0"/>
            </w:pPr>
            <w:r>
              <w:rPr>
                <w:rFonts w:ascii="Calibri" w:cs="Calibri" w:eastAsia="Calibri" w:hAnsi="Calibri"/>
                <w:b w:val="false"/>
                <w:bCs w:val="false"/>
                <w:color w:val="1F2A24"/>
                <w:sz w:val="20"/>
                <w:szCs w:val="20"/>
              </w:rPr>
              <w:t xml:space="preserve">Live</w:t>
            </w:r>
          </w:p>
        </w:tc>
      </w:tr>
      <w:tr>
        <w:trPr>
          <w:tblHeader w:val="false"/>
        </w:trPr>
        <w:tc>
          <w:tcPr>
            <w:tcBorders>
              <w:top w:val="single" w:color="D5E3DA" w:sz="4"/>
              <w:left w:val="single" w:color="D5E3DA" w:sz="4"/>
              <w:bottom w:val="single" w:color="D5E3DA" w:sz="4"/>
              <w:right w:val="single" w:color="D5E3DA" w:sz="4"/>
            </w:tcBorders>
            <w:shd w:fill="F4F9F6" w:val="clear"/>
            <w:tcMar>
              <w:top w:type="dxa" w:w="80"/>
              <w:left w:type="dxa" w:w="120"/>
              <w:bottom w:type="dxa" w:w="80"/>
              <w:right w:type="dxa" w:w="120"/>
            </w:tcMar>
            <w:vAlign w:val="center"/>
          </w:tcPr>
          <w:p>
            <w:pPr>
              <w:spacing w:after="0"/>
            </w:pPr>
            <w:r>
              <w:rPr>
                <w:rFonts w:ascii="Calibri" w:cs="Calibri" w:eastAsia="Calibri" w:hAnsi="Calibri"/>
                <w:b w:val="false"/>
                <w:bCs w:val="false"/>
                <w:color w:val="1F2A24"/>
                <w:sz w:val="20"/>
                <w:szCs w:val="20"/>
              </w:rPr>
              <w:t xml:space="preserve">Prijswijziging-generator (Instagram, LinkedIn, e-mail bij prijsaanpassing)</w:t>
            </w:r>
          </w:p>
        </w:tc>
        <w:tc>
          <w:tcPr>
            <w:tcBorders>
              <w:top w:val="single" w:color="D5E3DA" w:sz="4"/>
              <w:left w:val="single" w:color="D5E3DA" w:sz="4"/>
              <w:bottom w:val="single" w:color="D5E3DA" w:sz="4"/>
              <w:right w:val="single" w:color="D5E3DA" w:sz="4"/>
            </w:tcBorders>
            <w:shd w:fill="F4F9F6" w:val="clear"/>
            <w:tcMar>
              <w:top w:type="dxa" w:w="80"/>
              <w:left w:type="dxa" w:w="120"/>
              <w:bottom w:type="dxa" w:w="80"/>
              <w:right w:type="dxa" w:w="120"/>
            </w:tcMar>
            <w:vAlign w:val="center"/>
          </w:tcPr>
          <w:p>
            <w:pPr>
              <w:spacing w:after="0"/>
            </w:pPr>
            <w:r>
              <w:rPr>
                <w:rFonts w:ascii="Calibri" w:cs="Calibri" w:eastAsia="Calibri" w:hAnsi="Calibri"/>
                <w:b w:val="false"/>
                <w:bCs w:val="false"/>
                <w:color w:val="1F2A24"/>
                <w:sz w:val="20"/>
                <w:szCs w:val="20"/>
              </w:rPr>
              <w:t xml:space="preserve">Live</w:t>
            </w:r>
          </w:p>
        </w:tc>
      </w:tr>
      <w:tr>
        <w:trPr>
          <w:tblHeader w:val="false"/>
        </w:trPr>
        <w:tc>
          <w:tcPr>
            <w:tcBorders>
              <w:top w:val="single" w:color="D5E3DA" w:sz="4"/>
              <w:left w:val="single" w:color="D5E3DA" w:sz="4"/>
              <w:bottom w:val="single" w:color="D5E3DA" w:sz="4"/>
              <w:right w:val="single" w:color="D5E3DA" w:sz="4"/>
            </w:tcBorders>
            <w:tcMar>
              <w:top w:type="dxa" w:w="80"/>
              <w:left w:type="dxa" w:w="120"/>
              <w:bottom w:type="dxa" w:w="80"/>
              <w:right w:type="dxa" w:w="120"/>
            </w:tcMar>
            <w:vAlign w:val="center"/>
          </w:tcPr>
          <w:p>
            <w:pPr>
              <w:spacing w:after="0"/>
            </w:pPr>
            <w:r>
              <w:rPr>
                <w:rFonts w:ascii="Calibri" w:cs="Calibri" w:eastAsia="Calibri" w:hAnsi="Calibri"/>
                <w:b w:val="false"/>
                <w:bCs w:val="false"/>
                <w:color w:val="1F2A24"/>
                <w:sz w:val="20"/>
                <w:szCs w:val="20"/>
              </w:rPr>
              <w:t xml:space="preserve">Huisstijlgeheugen: schrijftoon, slogan, kleur, voorbeeldteksten</w:t>
            </w:r>
          </w:p>
        </w:tc>
        <w:tc>
          <w:tcPr>
            <w:tcBorders>
              <w:top w:val="single" w:color="D5E3DA" w:sz="4"/>
              <w:left w:val="single" w:color="D5E3DA" w:sz="4"/>
              <w:bottom w:val="single" w:color="D5E3DA" w:sz="4"/>
              <w:right w:val="single" w:color="D5E3DA" w:sz="4"/>
            </w:tcBorders>
            <w:tcMar>
              <w:top w:type="dxa" w:w="80"/>
              <w:left w:type="dxa" w:w="120"/>
              <w:bottom w:type="dxa" w:w="80"/>
              <w:right w:type="dxa" w:w="120"/>
            </w:tcMar>
            <w:vAlign w:val="center"/>
          </w:tcPr>
          <w:p>
            <w:pPr>
              <w:spacing w:after="0"/>
            </w:pPr>
            <w:r>
              <w:rPr>
                <w:rFonts w:ascii="Calibri" w:cs="Calibri" w:eastAsia="Calibri" w:hAnsi="Calibri"/>
                <w:b w:val="false"/>
                <w:bCs w:val="false"/>
                <w:color w:val="1F2A24"/>
                <w:sz w:val="20"/>
                <w:szCs w:val="20"/>
              </w:rPr>
              <w:t xml:space="preserve">Live</w:t>
            </w:r>
          </w:p>
        </w:tc>
      </w:tr>
    </w:tbl>
    <w:p>
      <w:pPr>
        <w:spacing w:after="120"/>
      </w:pPr>
    </w:p>
    <w:p>
      <w:pPr>
        <w:keepNext/>
        <w:spacing w:after="100" w:before="240"/>
      </w:pPr>
      <w:r>
        <w:rPr>
          <w:rFonts w:ascii="Calibri" w:cs="Calibri" w:eastAsia="Calibri" w:hAnsi="Calibri"/>
          <w:b/>
          <w:bCs/>
          <w:color w:val="124A30"/>
          <w:sz w:val="24"/>
          <w:szCs w:val="24"/>
        </w:rPr>
        <w:t xml:space="preserve">Data &amp; media (onderscheidend)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800"/>
        <w:gridCol w:w="4800"/>
      </w:tblGrid>
      <w:tr>
        <w:trPr>
          <w:tblHeader/>
        </w:trPr>
        <w:tc>
          <w:tcPr>
            <w:tcBorders>
              <w:top w:val="single" w:color="D5E3DA" w:sz="4"/>
              <w:left w:val="single" w:color="D5E3DA" w:sz="4"/>
              <w:bottom w:val="single" w:color="D5E3DA" w:sz="4"/>
              <w:right w:val="single" w:color="D5E3DA" w:sz="4"/>
            </w:tcBorders>
            <w:shd w:fill="1A6B45"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Feature</w:t>
            </w:r>
          </w:p>
        </w:tc>
        <w:tc>
          <w:tcPr>
            <w:tcBorders>
              <w:top w:val="single" w:color="D5E3DA" w:sz="4"/>
              <w:left w:val="single" w:color="D5E3DA" w:sz="4"/>
              <w:bottom w:val="single" w:color="D5E3DA" w:sz="4"/>
              <w:right w:val="single" w:color="D5E3DA" w:sz="4"/>
            </w:tcBorders>
            <w:shd w:fill="1A6B45"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Status</w:t>
            </w:r>
          </w:p>
        </w:tc>
      </w:tr>
      <w:tr>
        <w:trPr>
          <w:tblHeader w:val="false"/>
        </w:trPr>
        <w:tc>
          <w:tcPr>
            <w:tcBorders>
              <w:top w:val="single" w:color="D5E3DA" w:sz="4"/>
              <w:left w:val="single" w:color="D5E3DA" w:sz="4"/>
              <w:bottom w:val="single" w:color="D5E3DA" w:sz="4"/>
              <w:right w:val="single" w:color="D5E3DA" w:sz="4"/>
            </w:tcBorders>
            <w:shd w:fill="F4F9F6" w:val="clear"/>
            <w:tcMar>
              <w:top w:type="dxa" w:w="80"/>
              <w:left w:type="dxa" w:w="120"/>
              <w:bottom w:type="dxa" w:w="80"/>
              <w:right w:type="dxa" w:w="120"/>
            </w:tcMar>
            <w:vAlign w:val="center"/>
          </w:tcPr>
          <w:p>
            <w:pPr>
              <w:spacing w:after="0"/>
            </w:pPr>
            <w:r>
              <w:rPr>
                <w:rFonts w:ascii="Calibri" w:cs="Calibri" w:eastAsia="Calibri" w:hAnsi="Calibri"/>
                <w:b w:val="false"/>
                <w:bCs w:val="false"/>
                <w:color w:val="1F2A24"/>
                <w:sz w:val="20"/>
                <w:szCs w:val="20"/>
              </w:rPr>
              <w:t xml:space="preserve">Automatische data-verrijking: WOZ-waarde, CBS-buurtstatistiek, voorzieningen (Overpass), BAG/PDOK-adresdata</w:t>
            </w:r>
          </w:p>
        </w:tc>
        <w:tc>
          <w:tcPr>
            <w:tcBorders>
              <w:top w:val="single" w:color="D5E3DA" w:sz="4"/>
              <w:left w:val="single" w:color="D5E3DA" w:sz="4"/>
              <w:bottom w:val="single" w:color="D5E3DA" w:sz="4"/>
              <w:right w:val="single" w:color="D5E3DA" w:sz="4"/>
            </w:tcBorders>
            <w:shd w:fill="F4F9F6" w:val="clear"/>
            <w:tcMar>
              <w:top w:type="dxa" w:w="80"/>
              <w:left w:type="dxa" w:w="120"/>
              <w:bottom w:type="dxa" w:w="80"/>
              <w:right w:type="dxa" w:w="120"/>
            </w:tcMar>
            <w:vAlign w:val="center"/>
          </w:tcPr>
          <w:p>
            <w:pPr>
              <w:spacing w:after="0"/>
            </w:pPr>
            <w:r>
              <w:rPr>
                <w:rFonts w:ascii="Calibri" w:cs="Calibri" w:eastAsia="Calibri" w:hAnsi="Calibri"/>
                <w:b w:val="false"/>
                <w:bCs w:val="false"/>
                <w:color w:val="1F2A24"/>
                <w:sz w:val="20"/>
                <w:szCs w:val="20"/>
              </w:rPr>
              <w:t xml:space="preserve">Live</w:t>
            </w:r>
          </w:p>
        </w:tc>
      </w:tr>
      <w:tr>
        <w:trPr>
          <w:tblHeader w:val="false"/>
        </w:trPr>
        <w:tc>
          <w:tcPr>
            <w:tcBorders>
              <w:top w:val="single" w:color="D5E3DA" w:sz="4"/>
              <w:left w:val="single" w:color="D5E3DA" w:sz="4"/>
              <w:bottom w:val="single" w:color="D5E3DA" w:sz="4"/>
              <w:right w:val="single" w:color="D5E3DA" w:sz="4"/>
            </w:tcBorders>
            <w:tcMar>
              <w:top w:type="dxa" w:w="80"/>
              <w:left w:type="dxa" w:w="120"/>
              <w:bottom w:type="dxa" w:w="80"/>
              <w:right w:type="dxa" w:w="120"/>
            </w:tcMar>
            <w:vAlign w:val="center"/>
          </w:tcPr>
          <w:p>
            <w:pPr>
              <w:spacing w:after="0"/>
            </w:pPr>
            <w:r>
              <w:rPr>
                <w:rFonts w:ascii="Calibri" w:cs="Calibri" w:eastAsia="Calibri" w:hAnsi="Calibri"/>
                <w:b w:val="false"/>
                <w:bCs w:val="false"/>
                <w:color w:val="1F2A24"/>
                <w:sz w:val="20"/>
                <w:szCs w:val="20"/>
              </w:rPr>
              <w:t xml:space="preserve">Foto-verbetering: AI-analyse (belichting, kadrering, kleur, Funda-geschiktheid) + automatische correcties</w:t>
            </w:r>
          </w:p>
        </w:tc>
        <w:tc>
          <w:tcPr>
            <w:tcBorders>
              <w:top w:val="single" w:color="D5E3DA" w:sz="4"/>
              <w:left w:val="single" w:color="D5E3DA" w:sz="4"/>
              <w:bottom w:val="single" w:color="D5E3DA" w:sz="4"/>
              <w:right w:val="single" w:color="D5E3DA" w:sz="4"/>
            </w:tcBorders>
            <w:tcMar>
              <w:top w:type="dxa" w:w="80"/>
              <w:left w:type="dxa" w:w="120"/>
              <w:bottom w:type="dxa" w:w="80"/>
              <w:right w:type="dxa" w:w="120"/>
            </w:tcMar>
            <w:vAlign w:val="center"/>
          </w:tcPr>
          <w:p>
            <w:pPr>
              <w:spacing w:after="0"/>
            </w:pPr>
            <w:r>
              <w:rPr>
                <w:rFonts w:ascii="Calibri" w:cs="Calibri" w:eastAsia="Calibri" w:hAnsi="Calibri"/>
                <w:b w:val="false"/>
                <w:bCs w:val="false"/>
                <w:color w:val="1F2A24"/>
                <w:sz w:val="20"/>
                <w:szCs w:val="20"/>
              </w:rPr>
              <w:t xml:space="preserve">Live</w:t>
            </w:r>
          </w:p>
        </w:tc>
      </w:tr>
      <w:tr>
        <w:trPr>
          <w:tblHeader w:val="false"/>
        </w:trPr>
        <w:tc>
          <w:tcPr>
            <w:tcBorders>
              <w:top w:val="single" w:color="D5E3DA" w:sz="4"/>
              <w:left w:val="single" w:color="D5E3DA" w:sz="4"/>
              <w:bottom w:val="single" w:color="D5E3DA" w:sz="4"/>
              <w:right w:val="single" w:color="D5E3DA" w:sz="4"/>
            </w:tcBorders>
            <w:shd w:fill="F4F9F6" w:val="clear"/>
            <w:tcMar>
              <w:top w:type="dxa" w:w="80"/>
              <w:left w:type="dxa" w:w="120"/>
              <w:bottom w:type="dxa" w:w="80"/>
              <w:right w:type="dxa" w:w="120"/>
            </w:tcMar>
            <w:vAlign w:val="center"/>
          </w:tcPr>
          <w:p>
            <w:pPr>
              <w:spacing w:after="0"/>
            </w:pPr>
            <w:r>
              <w:rPr>
                <w:rFonts w:ascii="Calibri" w:cs="Calibri" w:eastAsia="Calibri" w:hAnsi="Calibri"/>
                <w:b w:val="false"/>
                <w:bCs w:val="false"/>
                <w:color w:val="1F2A24"/>
                <w:sz w:val="20"/>
                <w:szCs w:val="20"/>
              </w:rPr>
              <w:t xml:space="preserve">Virtual staging: 6 interieurstijlen × 6 ruimtes</w:t>
            </w:r>
          </w:p>
        </w:tc>
        <w:tc>
          <w:tcPr>
            <w:tcBorders>
              <w:top w:val="single" w:color="D5E3DA" w:sz="4"/>
              <w:left w:val="single" w:color="D5E3DA" w:sz="4"/>
              <w:bottom w:val="single" w:color="D5E3DA" w:sz="4"/>
              <w:right w:val="single" w:color="D5E3DA" w:sz="4"/>
            </w:tcBorders>
            <w:shd w:fill="F4F9F6" w:val="clear"/>
            <w:tcMar>
              <w:top w:type="dxa" w:w="80"/>
              <w:left w:type="dxa" w:w="120"/>
              <w:bottom w:type="dxa" w:w="80"/>
              <w:right w:type="dxa" w:w="120"/>
            </w:tcMar>
            <w:vAlign w:val="center"/>
          </w:tcPr>
          <w:p>
            <w:pPr>
              <w:spacing w:after="0"/>
            </w:pPr>
            <w:r>
              <w:rPr>
                <w:rFonts w:ascii="Calibri" w:cs="Calibri" w:eastAsia="Calibri" w:hAnsi="Calibri"/>
                <w:b w:val="false"/>
                <w:bCs w:val="false"/>
                <w:color w:val="1F2A24"/>
                <w:sz w:val="20"/>
                <w:szCs w:val="20"/>
              </w:rPr>
              <w:t xml:space="preserve">Live</w:t>
            </w:r>
          </w:p>
        </w:tc>
      </w:tr>
      <w:tr>
        <w:trPr>
          <w:tblHeader w:val="false"/>
        </w:trPr>
        <w:tc>
          <w:tcPr>
            <w:tcBorders>
              <w:top w:val="single" w:color="D5E3DA" w:sz="4"/>
              <w:left w:val="single" w:color="D5E3DA" w:sz="4"/>
              <w:bottom w:val="single" w:color="D5E3DA" w:sz="4"/>
              <w:right w:val="single" w:color="D5E3DA" w:sz="4"/>
            </w:tcBorders>
            <w:tcMar>
              <w:top w:type="dxa" w:w="80"/>
              <w:left w:type="dxa" w:w="120"/>
              <w:bottom w:type="dxa" w:w="80"/>
              <w:right w:type="dxa" w:w="120"/>
            </w:tcMar>
            <w:vAlign w:val="center"/>
          </w:tcPr>
          <w:p>
            <w:pPr>
              <w:spacing w:after="0"/>
            </w:pPr>
            <w:r>
              <w:rPr>
                <w:rFonts w:ascii="Calibri" w:cs="Calibri" w:eastAsia="Calibri" w:hAnsi="Calibri"/>
                <w:b w:val="false"/>
                <w:bCs w:val="false"/>
                <w:color w:val="1F2A24"/>
                <w:sz w:val="20"/>
                <w:szCs w:val="20"/>
              </w:rPr>
              <w:t xml:space="preserve">Documenten-assistent: upload (VvE-stukken, meetrapport) en chat over de inhoud</w:t>
            </w:r>
          </w:p>
        </w:tc>
        <w:tc>
          <w:tcPr>
            <w:tcBorders>
              <w:top w:val="single" w:color="D5E3DA" w:sz="4"/>
              <w:left w:val="single" w:color="D5E3DA" w:sz="4"/>
              <w:bottom w:val="single" w:color="D5E3DA" w:sz="4"/>
              <w:right w:val="single" w:color="D5E3DA" w:sz="4"/>
            </w:tcBorders>
            <w:tcMar>
              <w:top w:type="dxa" w:w="80"/>
              <w:left w:type="dxa" w:w="120"/>
              <w:bottom w:type="dxa" w:w="80"/>
              <w:right w:type="dxa" w:w="120"/>
            </w:tcMar>
            <w:vAlign w:val="center"/>
          </w:tcPr>
          <w:p>
            <w:pPr>
              <w:spacing w:after="0"/>
            </w:pPr>
            <w:r>
              <w:rPr>
                <w:rFonts w:ascii="Calibri" w:cs="Calibri" w:eastAsia="Calibri" w:hAnsi="Calibri"/>
                <w:b w:val="false"/>
                <w:bCs w:val="false"/>
                <w:color w:val="1F2A24"/>
                <w:sz w:val="20"/>
                <w:szCs w:val="20"/>
              </w:rPr>
              <w:t xml:space="preserve">Live</w:t>
            </w:r>
          </w:p>
        </w:tc>
      </w:tr>
      <w:tr>
        <w:trPr>
          <w:tblHeader w:val="false"/>
        </w:trPr>
        <w:tc>
          <w:tcPr>
            <w:tcBorders>
              <w:top w:val="single" w:color="D5E3DA" w:sz="4"/>
              <w:left w:val="single" w:color="D5E3DA" w:sz="4"/>
              <w:bottom w:val="single" w:color="D5E3DA" w:sz="4"/>
              <w:right w:val="single" w:color="D5E3DA" w:sz="4"/>
            </w:tcBorders>
            <w:shd w:fill="F4F9F6" w:val="clear"/>
            <w:tcMar>
              <w:top w:type="dxa" w:w="80"/>
              <w:left w:type="dxa" w:w="120"/>
              <w:bottom w:type="dxa" w:w="80"/>
              <w:right w:type="dxa" w:w="120"/>
            </w:tcMar>
            <w:vAlign w:val="center"/>
          </w:tcPr>
          <w:p>
            <w:pPr>
              <w:spacing w:after="0"/>
            </w:pPr>
            <w:r>
              <w:rPr>
                <w:rFonts w:ascii="Calibri" w:cs="Calibri" w:eastAsia="Calibri" w:hAnsi="Calibri"/>
                <w:b w:val="false"/>
                <w:bCs w:val="false"/>
                <w:color w:val="1F2A24"/>
                <w:sz w:val="20"/>
                <w:szCs w:val="20"/>
              </w:rPr>
              <w:t xml:space="preserve">Object-chatbot als embed-widget voor de eigen makelaarssite</w:t>
            </w:r>
          </w:p>
        </w:tc>
        <w:tc>
          <w:tcPr>
            <w:tcBorders>
              <w:top w:val="single" w:color="D5E3DA" w:sz="4"/>
              <w:left w:val="single" w:color="D5E3DA" w:sz="4"/>
              <w:bottom w:val="single" w:color="D5E3DA" w:sz="4"/>
              <w:right w:val="single" w:color="D5E3DA" w:sz="4"/>
            </w:tcBorders>
            <w:shd w:fill="F4F9F6" w:val="clear"/>
            <w:tcMar>
              <w:top w:type="dxa" w:w="80"/>
              <w:left w:type="dxa" w:w="120"/>
              <w:bottom w:type="dxa" w:w="80"/>
              <w:right w:type="dxa" w:w="120"/>
            </w:tcMar>
            <w:vAlign w:val="center"/>
          </w:tcPr>
          <w:p>
            <w:pPr>
              <w:spacing w:after="0"/>
            </w:pPr>
            <w:r>
              <w:rPr>
                <w:rFonts w:ascii="Calibri" w:cs="Calibri" w:eastAsia="Calibri" w:hAnsi="Calibri"/>
                <w:b w:val="false"/>
                <w:bCs w:val="false"/>
                <w:color w:val="1F2A24"/>
                <w:sz w:val="20"/>
                <w:szCs w:val="20"/>
              </w:rPr>
              <w:t xml:space="preserve">Live, extern testen open</w:t>
            </w:r>
          </w:p>
        </w:tc>
      </w:tr>
    </w:tbl>
    <w:p>
      <w:pPr>
        <w:spacing w:after="120"/>
      </w:pPr>
    </w:p>
    <w:p>
      <w:pPr>
        <w:keepNext/>
        <w:spacing w:after="100" w:before="240"/>
      </w:pPr>
      <w:r>
        <w:rPr>
          <w:rFonts w:ascii="Calibri" w:cs="Calibri" w:eastAsia="Calibri" w:hAnsi="Calibri"/>
          <w:b/>
          <w:bCs/>
          <w:color w:val="124A30"/>
          <w:sz w:val="24"/>
          <w:szCs w:val="24"/>
        </w:rPr>
        <w:t xml:space="preserve">Workflow &amp; platform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800"/>
        <w:gridCol w:w="4800"/>
      </w:tblGrid>
      <w:tr>
        <w:trPr>
          <w:tblHeader/>
        </w:trPr>
        <w:tc>
          <w:tcPr>
            <w:tcBorders>
              <w:top w:val="single" w:color="D5E3DA" w:sz="4"/>
              <w:left w:val="single" w:color="D5E3DA" w:sz="4"/>
              <w:bottom w:val="single" w:color="D5E3DA" w:sz="4"/>
              <w:right w:val="single" w:color="D5E3DA" w:sz="4"/>
            </w:tcBorders>
            <w:shd w:fill="1A6B45"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Feature</w:t>
            </w:r>
          </w:p>
        </w:tc>
        <w:tc>
          <w:tcPr>
            <w:tcBorders>
              <w:top w:val="single" w:color="D5E3DA" w:sz="4"/>
              <w:left w:val="single" w:color="D5E3DA" w:sz="4"/>
              <w:bottom w:val="single" w:color="D5E3DA" w:sz="4"/>
              <w:right w:val="single" w:color="D5E3DA" w:sz="4"/>
            </w:tcBorders>
            <w:shd w:fill="1A6B45"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Status</w:t>
            </w:r>
          </w:p>
        </w:tc>
      </w:tr>
      <w:tr>
        <w:trPr>
          <w:tblHeader w:val="false"/>
        </w:trPr>
        <w:tc>
          <w:tcPr>
            <w:tcBorders>
              <w:top w:val="single" w:color="D5E3DA" w:sz="4"/>
              <w:left w:val="single" w:color="D5E3DA" w:sz="4"/>
              <w:bottom w:val="single" w:color="D5E3DA" w:sz="4"/>
              <w:right w:val="single" w:color="D5E3DA" w:sz="4"/>
            </w:tcBorders>
            <w:shd w:fill="F4F9F6" w:val="clear"/>
            <w:tcMar>
              <w:top w:type="dxa" w:w="80"/>
              <w:left w:type="dxa" w:w="120"/>
              <w:bottom w:type="dxa" w:w="80"/>
              <w:right w:type="dxa" w:w="120"/>
            </w:tcMar>
            <w:vAlign w:val="center"/>
          </w:tcPr>
          <w:p>
            <w:pPr>
              <w:spacing w:after="0"/>
            </w:pPr>
            <w:r>
              <w:rPr>
                <w:rFonts w:ascii="Calibri" w:cs="Calibri" w:eastAsia="Calibri" w:hAnsi="Calibri"/>
                <w:b w:val="false"/>
                <w:bCs w:val="false"/>
                <w:color w:val="1F2A24"/>
                <w:sz w:val="20"/>
                <w:szCs w:val="20"/>
              </w:rPr>
              <w:t xml:space="preserve">Content-kalender + posts inplannen per platform</w:t>
            </w:r>
          </w:p>
        </w:tc>
        <w:tc>
          <w:tcPr>
            <w:tcBorders>
              <w:top w:val="single" w:color="D5E3DA" w:sz="4"/>
              <w:left w:val="single" w:color="D5E3DA" w:sz="4"/>
              <w:bottom w:val="single" w:color="D5E3DA" w:sz="4"/>
              <w:right w:val="single" w:color="D5E3DA" w:sz="4"/>
            </w:tcBorders>
            <w:shd w:fill="F4F9F6" w:val="clear"/>
            <w:tcMar>
              <w:top w:type="dxa" w:w="80"/>
              <w:left w:type="dxa" w:w="120"/>
              <w:bottom w:type="dxa" w:w="80"/>
              <w:right w:type="dxa" w:w="120"/>
            </w:tcMar>
            <w:vAlign w:val="center"/>
          </w:tcPr>
          <w:p>
            <w:pPr>
              <w:spacing w:after="0"/>
            </w:pPr>
            <w:r>
              <w:rPr>
                <w:rFonts w:ascii="Calibri" w:cs="Calibri" w:eastAsia="Calibri" w:hAnsi="Calibri"/>
                <w:b w:val="false"/>
                <w:bCs w:val="false"/>
                <w:color w:val="1F2A24"/>
                <w:sz w:val="20"/>
                <w:szCs w:val="20"/>
              </w:rPr>
              <w:t xml:space="preserve">Live (publiceren nog handmatig)</w:t>
            </w:r>
          </w:p>
        </w:tc>
      </w:tr>
      <w:tr>
        <w:trPr>
          <w:tblHeader w:val="false"/>
        </w:trPr>
        <w:tc>
          <w:tcPr>
            <w:tcBorders>
              <w:top w:val="single" w:color="D5E3DA" w:sz="4"/>
              <w:left w:val="single" w:color="D5E3DA" w:sz="4"/>
              <w:bottom w:val="single" w:color="D5E3DA" w:sz="4"/>
              <w:right w:val="single" w:color="D5E3DA" w:sz="4"/>
            </w:tcBorders>
            <w:tcMar>
              <w:top w:type="dxa" w:w="80"/>
              <w:left w:type="dxa" w:w="120"/>
              <w:bottom w:type="dxa" w:w="80"/>
              <w:right w:type="dxa" w:w="120"/>
            </w:tcMar>
            <w:vAlign w:val="center"/>
          </w:tcPr>
          <w:p>
            <w:pPr>
              <w:spacing w:after="0"/>
            </w:pPr>
            <w:r>
              <w:rPr>
                <w:rFonts w:ascii="Calibri" w:cs="Calibri" w:eastAsia="Calibri" w:hAnsi="Calibri"/>
                <w:b w:val="false"/>
                <w:bCs w:val="false"/>
                <w:color w:val="1F2A24"/>
                <w:sz w:val="20"/>
                <w:szCs w:val="20"/>
              </w:rPr>
              <w:t xml:space="preserve">PDF-export en PDF per e-mail versturen</w:t>
            </w:r>
          </w:p>
        </w:tc>
        <w:tc>
          <w:tcPr>
            <w:tcBorders>
              <w:top w:val="single" w:color="D5E3DA" w:sz="4"/>
              <w:left w:val="single" w:color="D5E3DA" w:sz="4"/>
              <w:bottom w:val="single" w:color="D5E3DA" w:sz="4"/>
              <w:right w:val="single" w:color="D5E3DA" w:sz="4"/>
            </w:tcBorders>
            <w:tcMar>
              <w:top w:type="dxa" w:w="80"/>
              <w:left w:type="dxa" w:w="120"/>
              <w:bottom w:type="dxa" w:w="80"/>
              <w:right w:type="dxa" w:w="120"/>
            </w:tcMar>
            <w:vAlign w:val="center"/>
          </w:tcPr>
          <w:p>
            <w:pPr>
              <w:spacing w:after="0"/>
            </w:pPr>
            <w:r>
              <w:rPr>
                <w:rFonts w:ascii="Calibri" w:cs="Calibri" w:eastAsia="Calibri" w:hAnsi="Calibri"/>
                <w:b w:val="false"/>
                <w:bCs w:val="false"/>
                <w:color w:val="1F2A24"/>
                <w:sz w:val="20"/>
                <w:szCs w:val="20"/>
              </w:rPr>
              <w:t xml:space="preserve">Live</w:t>
            </w:r>
          </w:p>
        </w:tc>
      </w:tr>
      <w:tr>
        <w:trPr>
          <w:tblHeader w:val="false"/>
        </w:trPr>
        <w:tc>
          <w:tcPr>
            <w:tcBorders>
              <w:top w:val="single" w:color="D5E3DA" w:sz="4"/>
              <w:left w:val="single" w:color="D5E3DA" w:sz="4"/>
              <w:bottom w:val="single" w:color="D5E3DA" w:sz="4"/>
              <w:right w:val="single" w:color="D5E3DA" w:sz="4"/>
            </w:tcBorders>
            <w:shd w:fill="F4F9F6" w:val="clear"/>
            <w:tcMar>
              <w:top w:type="dxa" w:w="80"/>
              <w:left w:type="dxa" w:w="120"/>
              <w:bottom w:type="dxa" w:w="80"/>
              <w:right w:type="dxa" w:w="120"/>
            </w:tcMar>
            <w:vAlign w:val="center"/>
          </w:tcPr>
          <w:p>
            <w:pPr>
              <w:spacing w:after="0"/>
            </w:pPr>
            <w:r>
              <w:rPr>
                <w:rFonts w:ascii="Calibri" w:cs="Calibri" w:eastAsia="Calibri" w:hAnsi="Calibri"/>
                <w:b w:val="false"/>
                <w:bCs w:val="false"/>
                <w:color w:val="1F2A24"/>
                <w:sz w:val="20"/>
                <w:szCs w:val="20"/>
              </w:rPr>
              <w:t xml:space="preserve">Realworks-export (XML-download)</w:t>
            </w:r>
          </w:p>
        </w:tc>
        <w:tc>
          <w:tcPr>
            <w:tcBorders>
              <w:top w:val="single" w:color="D5E3DA" w:sz="4"/>
              <w:left w:val="single" w:color="D5E3DA" w:sz="4"/>
              <w:bottom w:val="single" w:color="D5E3DA" w:sz="4"/>
              <w:right w:val="single" w:color="D5E3DA" w:sz="4"/>
            </w:tcBorders>
            <w:shd w:fill="F4F9F6" w:val="clear"/>
            <w:tcMar>
              <w:top w:type="dxa" w:w="80"/>
              <w:left w:type="dxa" w:w="120"/>
              <w:bottom w:type="dxa" w:w="80"/>
              <w:right w:type="dxa" w:w="120"/>
            </w:tcMar>
            <w:vAlign w:val="center"/>
          </w:tcPr>
          <w:p>
            <w:pPr>
              <w:spacing w:after="0"/>
            </w:pPr>
            <w:r>
              <w:rPr>
                <w:rFonts w:ascii="Calibri" w:cs="Calibri" w:eastAsia="Calibri" w:hAnsi="Calibri"/>
                <w:b w:val="false"/>
                <w:bCs w:val="false"/>
                <w:color w:val="1F2A24"/>
                <w:sz w:val="20"/>
                <w:szCs w:val="20"/>
              </w:rPr>
              <w:t xml:space="preserve">Live</w:t>
            </w:r>
          </w:p>
        </w:tc>
      </w:tr>
      <w:tr>
        <w:trPr>
          <w:tblHeader w:val="false"/>
        </w:trPr>
        <w:tc>
          <w:tcPr>
            <w:tcBorders>
              <w:top w:val="single" w:color="D5E3DA" w:sz="4"/>
              <w:left w:val="single" w:color="D5E3DA" w:sz="4"/>
              <w:bottom w:val="single" w:color="D5E3DA" w:sz="4"/>
              <w:right w:val="single" w:color="D5E3DA" w:sz="4"/>
            </w:tcBorders>
            <w:tcMar>
              <w:top w:type="dxa" w:w="80"/>
              <w:left w:type="dxa" w:w="120"/>
              <w:bottom w:type="dxa" w:w="80"/>
              <w:right w:type="dxa" w:w="120"/>
            </w:tcMar>
            <w:vAlign w:val="center"/>
          </w:tcPr>
          <w:p>
            <w:pPr>
              <w:spacing w:after="0"/>
            </w:pPr>
            <w:r>
              <w:rPr>
                <w:rFonts w:ascii="Calibri" w:cs="Calibri" w:eastAsia="Calibri" w:hAnsi="Calibri"/>
                <w:b w:val="false"/>
                <w:bCs w:val="false"/>
                <w:color w:val="1F2A24"/>
                <w:sz w:val="20"/>
                <w:szCs w:val="20"/>
              </w:rPr>
              <w:t xml:space="preserve">Wijkpagina's (SEO), referral-programma, NPS-meting, onboarding-checklist</w:t>
            </w:r>
          </w:p>
        </w:tc>
        <w:tc>
          <w:tcPr>
            <w:tcBorders>
              <w:top w:val="single" w:color="D5E3DA" w:sz="4"/>
              <w:left w:val="single" w:color="D5E3DA" w:sz="4"/>
              <w:bottom w:val="single" w:color="D5E3DA" w:sz="4"/>
              <w:right w:val="single" w:color="D5E3DA" w:sz="4"/>
            </w:tcBorders>
            <w:tcMar>
              <w:top w:type="dxa" w:w="80"/>
              <w:left w:type="dxa" w:w="120"/>
              <w:bottom w:type="dxa" w:w="80"/>
              <w:right w:type="dxa" w:w="120"/>
            </w:tcMar>
            <w:vAlign w:val="center"/>
          </w:tcPr>
          <w:p>
            <w:pPr>
              <w:spacing w:after="0"/>
            </w:pPr>
            <w:r>
              <w:rPr>
                <w:rFonts w:ascii="Calibri" w:cs="Calibri" w:eastAsia="Calibri" w:hAnsi="Calibri"/>
                <w:b w:val="false"/>
                <w:bCs w:val="false"/>
                <w:color w:val="1F2A24"/>
                <w:sz w:val="20"/>
                <w:szCs w:val="20"/>
              </w:rPr>
              <w:t xml:space="preserve">Live</w:t>
            </w:r>
          </w:p>
        </w:tc>
      </w:tr>
      <w:tr>
        <w:trPr>
          <w:tblHeader w:val="false"/>
        </w:trPr>
        <w:tc>
          <w:tcPr>
            <w:tcBorders>
              <w:top w:val="single" w:color="D5E3DA" w:sz="4"/>
              <w:left w:val="single" w:color="D5E3DA" w:sz="4"/>
              <w:bottom w:val="single" w:color="D5E3DA" w:sz="4"/>
              <w:right w:val="single" w:color="D5E3DA" w:sz="4"/>
            </w:tcBorders>
            <w:shd w:fill="F4F9F6" w:val="clear"/>
            <w:tcMar>
              <w:top w:type="dxa" w:w="80"/>
              <w:left w:type="dxa" w:w="120"/>
              <w:bottom w:type="dxa" w:w="80"/>
              <w:right w:type="dxa" w:w="120"/>
            </w:tcMar>
            <w:vAlign w:val="center"/>
          </w:tcPr>
          <w:p>
            <w:pPr>
              <w:spacing w:after="0"/>
            </w:pPr>
            <w:r>
              <w:rPr>
                <w:rFonts w:ascii="Calibri" w:cs="Calibri" w:eastAsia="Calibri" w:hAnsi="Calibri"/>
                <w:b w:val="false"/>
                <w:bCs w:val="false"/>
                <w:color w:val="1F2A24"/>
                <w:sz w:val="20"/>
                <w:szCs w:val="20"/>
              </w:rPr>
              <w:t xml:space="preserve">Admin/klantenbeheer, plan-gating, trial-waarschuwing (cron)</w:t>
            </w:r>
          </w:p>
        </w:tc>
        <w:tc>
          <w:tcPr>
            <w:tcBorders>
              <w:top w:val="single" w:color="D5E3DA" w:sz="4"/>
              <w:left w:val="single" w:color="D5E3DA" w:sz="4"/>
              <w:bottom w:val="single" w:color="D5E3DA" w:sz="4"/>
              <w:right w:val="single" w:color="D5E3DA" w:sz="4"/>
            </w:tcBorders>
            <w:shd w:fill="F4F9F6" w:val="clear"/>
            <w:tcMar>
              <w:top w:type="dxa" w:w="80"/>
              <w:left w:type="dxa" w:w="120"/>
              <w:bottom w:type="dxa" w:w="80"/>
              <w:right w:type="dxa" w:w="120"/>
            </w:tcMar>
            <w:vAlign w:val="center"/>
          </w:tcPr>
          <w:p>
            <w:pPr>
              <w:spacing w:after="0"/>
            </w:pPr>
            <w:r>
              <w:rPr>
                <w:rFonts w:ascii="Calibri" w:cs="Calibri" w:eastAsia="Calibri" w:hAnsi="Calibri"/>
                <w:b w:val="false"/>
                <w:bCs w:val="false"/>
                <w:color w:val="1F2A24"/>
                <w:sz w:val="20"/>
                <w:szCs w:val="20"/>
              </w:rPr>
              <w:t xml:space="preserve">Live</w:t>
            </w:r>
          </w:p>
        </w:tc>
      </w:tr>
      <w:tr>
        <w:trPr>
          <w:tblHeader w:val="false"/>
        </w:trPr>
        <w:tc>
          <w:tcPr>
            <w:tcBorders>
              <w:top w:val="single" w:color="D5E3DA" w:sz="4"/>
              <w:left w:val="single" w:color="D5E3DA" w:sz="4"/>
              <w:bottom w:val="single" w:color="D5E3DA" w:sz="4"/>
              <w:right w:val="single" w:color="D5E3DA" w:sz="4"/>
            </w:tcBorders>
            <w:tcMar>
              <w:top w:type="dxa" w:w="80"/>
              <w:left w:type="dxa" w:w="120"/>
              <w:bottom w:type="dxa" w:w="80"/>
              <w:right w:type="dxa" w:w="120"/>
            </w:tcMar>
            <w:vAlign w:val="center"/>
          </w:tcPr>
          <w:p>
            <w:pPr>
              <w:spacing w:after="0"/>
            </w:pPr>
            <w:r>
              <w:rPr>
                <w:rFonts w:ascii="Calibri" w:cs="Calibri" w:eastAsia="Calibri" w:hAnsi="Calibri"/>
                <w:b w:val="false"/>
                <w:bCs w:val="false"/>
                <w:color w:val="1F2A24"/>
                <w:sz w:val="20"/>
                <w:szCs w:val="20"/>
              </w:rPr>
              <w:t xml:space="preserve">Stripe-facturering</w:t>
            </w:r>
          </w:p>
        </w:tc>
        <w:tc>
          <w:tcPr>
            <w:tcBorders>
              <w:top w:val="single" w:color="D5E3DA" w:sz="4"/>
              <w:left w:val="single" w:color="D5E3DA" w:sz="4"/>
              <w:bottom w:val="single" w:color="D5E3DA" w:sz="4"/>
              <w:right w:val="single" w:color="D5E3DA" w:sz="4"/>
            </w:tcBorders>
            <w:tcMar>
              <w:top w:type="dxa" w:w="80"/>
              <w:left w:type="dxa" w:w="120"/>
              <w:bottom w:type="dxa" w:w="80"/>
              <w:right w:type="dxa" w:w="120"/>
            </w:tcMar>
            <w:vAlign w:val="center"/>
          </w:tcPr>
          <w:p>
            <w:pPr>
              <w:spacing w:after="0"/>
            </w:pPr>
            <w:r>
              <w:rPr>
                <w:rFonts w:ascii="Calibri" w:cs="Calibri" w:eastAsia="Calibri" w:hAnsi="Calibri"/>
                <w:b w:val="false"/>
                <w:bCs w:val="false"/>
                <w:color w:val="1F2A24"/>
                <w:sz w:val="20"/>
                <w:szCs w:val="20"/>
              </w:rPr>
              <w:t xml:space="preserve">Gebouwd, activering na testfase</w:t>
            </w:r>
          </w:p>
        </w:tc>
      </w:tr>
    </w:tbl>
    <w:p>
      <w:pPr>
        <w:spacing w:after="120"/>
      </w:pPr>
    </w:p>
    <w:p>
      <w:pPr>
        <w:keepNext/>
        <w:spacing w:after="100" w:before="240"/>
      </w:pPr>
      <w:r>
        <w:rPr>
          <w:rFonts w:ascii="Calibri" w:cs="Calibri" w:eastAsia="Calibri" w:hAnsi="Calibri"/>
          <w:b/>
          <w:bCs/>
          <w:color w:val="124A30"/>
          <w:sz w:val="24"/>
          <w:szCs w:val="24"/>
        </w:rPr>
        <w:t xml:space="preserve">Openstaande zwaktes (uit eigen roadmap)</w:t>
      </w:r>
    </w:p>
    <w:p>
      <w:pPr>
        <w:pStyle w:val="ListParagraph"/>
        <w:numPr>
          <w:ilvl w:val="0"/>
          <w:numId w:val="1"/>
        </w:numPr>
        <w:spacing w:after="80" w:line="290"/>
      </w:pPr>
      <w:r>
        <w:rPr>
          <w:rFonts w:ascii="Calibri" w:cs="Calibri" w:eastAsia="Calibri" w:hAnsi="Calibri"/>
          <w:color w:val="1F2A24"/>
          <w:sz w:val="22"/>
          <w:szCs w:val="22"/>
        </w:rPr>
        <w:t xml:space="preserve">Generate-route kan time-outen (Vercel 504) met een cryptische foutmelding voor de klant — </w:t>
      </w:r>
      <w:r>
        <w:rPr>
          <w:rFonts w:ascii="Calibri" w:cs="Calibri" w:eastAsia="Calibri" w:hAnsi="Calibri"/>
          <w:b/>
          <w:bCs/>
          <w:color w:val="1F2A24"/>
          <w:sz w:val="22"/>
          <w:szCs w:val="22"/>
        </w:rPr>
        <w:t xml:space="preserve">hoogste prioriteit, dit raakt de kern van het product</w:t>
      </w:r>
      <w:r>
        <w:rPr>
          <w:rFonts w:ascii="Calibri" w:cs="Calibri" w:eastAsia="Calibri" w:hAnsi="Calibri"/>
          <w:color w:val="1F2A24"/>
          <w:sz w:val="22"/>
          <w:szCs w:val="22"/>
        </w:rPr>
        <w:t xml:space="preserve">.</w:t>
      </w:r>
    </w:p>
    <w:p>
      <w:pPr>
        <w:pStyle w:val="ListParagraph"/>
        <w:numPr>
          <w:ilvl w:val="0"/>
          <w:numId w:val="1"/>
        </w:numPr>
        <w:spacing w:after="80" w:line="290"/>
      </w:pPr>
      <w:r>
        <w:rPr>
          <w:rFonts w:ascii="Calibri" w:cs="Calibri" w:eastAsia="Calibri" w:hAnsi="Calibri"/>
          <w:color w:val="1F2A24"/>
          <w:sz w:val="22"/>
          <w:szCs w:val="22"/>
        </w:rPr>
        <w:t xml:space="preserve">Outputkwaliteit (buurtomschrijvingen, Instagram-varianten, huisstijltoepassing) is nog niet systematisch gevalideerd.</w:t>
      </w:r>
    </w:p>
    <w:p>
      <w:pPr>
        <w:pStyle w:val="ListParagraph"/>
        <w:numPr>
          <w:ilvl w:val="0"/>
          <w:numId w:val="1"/>
        </w:numPr>
        <w:spacing w:after="80" w:line="290"/>
      </w:pPr>
      <w:r>
        <w:rPr>
          <w:rFonts w:ascii="Calibri" w:cs="Calibri" w:eastAsia="Calibri" w:hAnsi="Calibri"/>
          <w:color w:val="1F2A24"/>
          <w:sz w:val="22"/>
          <w:szCs w:val="22"/>
        </w:rPr>
        <w:t xml:space="preserve">Automatisch publiceren naar social media (Meta/LinkedIn API) staat op de roadmap maar is er nog niet.</w:t>
      </w:r>
    </w:p>
    <w:p>
      <w:pPr>
        <w:pStyle w:val="ListParagraph"/>
        <w:numPr>
          <w:ilvl w:val="0"/>
          <w:numId w:val="1"/>
        </w:numPr>
        <w:spacing w:after="80" w:line="290"/>
      </w:pPr>
      <w:r>
        <w:rPr>
          <w:rFonts w:ascii="Calibri" w:cs="Calibri" w:eastAsia="Calibri" w:hAnsi="Calibri"/>
          <w:color w:val="1F2A24"/>
          <w:sz w:val="22"/>
          <w:szCs w:val="22"/>
        </w:rPr>
        <w:t xml:space="preserve">Geen testimonial op de landingspagina (placeholder staat klaar).</w:t>
      </w:r>
    </w:p>
    <w:p>
      <w:pPr>
        <w:pStyle w:val="ListParagraph"/>
        <w:numPr>
          <w:ilvl w:val="0"/>
          <w:numId w:val="1"/>
        </w:numPr>
        <w:spacing w:after="80" w:line="290"/>
      </w:pPr>
      <w:r>
        <w:rPr>
          <w:rFonts w:ascii="Calibri" w:cs="Calibri" w:eastAsia="Calibri" w:hAnsi="Calibri"/>
          <w:color w:val="1F2A24"/>
          <w:sz w:val="22"/>
          <w:szCs w:val="22"/>
        </w:rPr>
        <w:t xml:space="preserve">Stripe/betalen nog niet live.</w:t>
      </w:r>
    </w:p>
    <w:p>
      <w:pPr>
        <w:keepNext/>
        <w:pBdr>
          <w:bottom w:val="single" w:color="D5E3DA" w:sz="6" w:space="4"/>
        </w:pBdr>
        <w:spacing w:after="160" w:before="360"/>
      </w:pPr>
      <w:r>
        <w:rPr>
          <w:rFonts w:ascii="Calibri" w:cs="Calibri" w:eastAsia="Calibri" w:hAnsi="Calibri"/>
          <w:b/>
          <w:bCs/>
          <w:color w:val="1A6B45"/>
          <w:sz w:val="30"/>
          <w:szCs w:val="30"/>
        </w:rPr>
        <w:t xml:space="preserve">3. HousApp onder de loep</w:t>
      </w:r>
    </w:p>
    <w:p>
      <w:pPr>
        <w:keepNext/>
        <w:spacing w:after="100" w:before="240"/>
      </w:pPr>
      <w:r>
        <w:rPr>
          <w:rFonts w:ascii="Calibri" w:cs="Calibri" w:eastAsia="Calibri" w:hAnsi="Calibri"/>
          <w:b/>
          <w:bCs/>
          <w:color w:val="124A30"/>
          <w:sz w:val="24"/>
          <w:szCs w:val="24"/>
        </w:rPr>
        <w:t xml:space="preserve">Profiel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800"/>
        <w:gridCol w:w="4800"/>
      </w:tblGrid>
      <w:tr>
        <w:trPr>
          <w:tblHeader/>
        </w:trPr>
        <w:tc>
          <w:tcPr>
            <w:tcBorders>
              <w:top w:val="single" w:color="D5E3DA" w:sz="4"/>
              <w:left w:val="single" w:color="D5E3DA" w:sz="4"/>
              <w:bottom w:val="single" w:color="D5E3DA" w:sz="4"/>
              <w:right w:val="single" w:color="D5E3DA" w:sz="4"/>
            </w:tcBorders>
            <w:shd w:fill="1A6B45"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Kenmerk</w:t>
            </w:r>
          </w:p>
        </w:tc>
        <w:tc>
          <w:tcPr>
            <w:tcBorders>
              <w:top w:val="single" w:color="D5E3DA" w:sz="4"/>
              <w:left w:val="single" w:color="D5E3DA" w:sz="4"/>
              <w:bottom w:val="single" w:color="D5E3DA" w:sz="4"/>
              <w:right w:val="single" w:color="D5E3DA" w:sz="4"/>
            </w:tcBorders>
            <w:shd w:fill="1A6B45"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Detail</w:t>
            </w:r>
          </w:p>
        </w:tc>
      </w:tr>
      <w:tr>
        <w:trPr>
          <w:tblHeader w:val="false"/>
        </w:trPr>
        <w:tc>
          <w:tcPr>
            <w:tcBorders>
              <w:top w:val="single" w:color="D5E3DA" w:sz="4"/>
              <w:left w:val="single" w:color="D5E3DA" w:sz="4"/>
              <w:bottom w:val="single" w:color="D5E3DA" w:sz="4"/>
              <w:right w:val="single" w:color="D5E3DA" w:sz="4"/>
            </w:tcBorders>
            <w:shd w:fill="F4F9F6" w:val="clear"/>
            <w:tcMar>
              <w:top w:type="dxa" w:w="80"/>
              <w:left w:type="dxa" w:w="120"/>
              <w:bottom w:type="dxa" w:w="80"/>
              <w:right w:type="dxa" w:w="120"/>
            </w:tcMar>
            <w:vAlign w:val="center"/>
          </w:tcPr>
          <w:p>
            <w:pPr>
              <w:spacing w:after="0"/>
            </w:pPr>
            <w:r>
              <w:rPr>
                <w:rFonts w:ascii="Calibri" w:cs="Calibri" w:eastAsia="Calibri" w:hAnsi="Calibri"/>
                <w:b w:val="false"/>
                <w:bCs w:val="false"/>
                <w:color w:val="1F2A24"/>
                <w:sz w:val="20"/>
                <w:szCs w:val="20"/>
              </w:rPr>
              <w:t xml:space="preserve">Opgericht / gelanceerd</w:t>
            </w:r>
          </w:p>
        </w:tc>
        <w:tc>
          <w:tcPr>
            <w:tcBorders>
              <w:top w:val="single" w:color="D5E3DA" w:sz="4"/>
              <w:left w:val="single" w:color="D5E3DA" w:sz="4"/>
              <w:bottom w:val="single" w:color="D5E3DA" w:sz="4"/>
              <w:right w:val="single" w:color="D5E3DA" w:sz="4"/>
            </w:tcBorders>
            <w:shd w:fill="F4F9F6" w:val="clear"/>
            <w:tcMar>
              <w:top w:type="dxa" w:w="80"/>
              <w:left w:type="dxa" w:w="120"/>
              <w:bottom w:type="dxa" w:w="80"/>
              <w:right w:type="dxa" w:w="120"/>
            </w:tcMar>
            <w:vAlign w:val="center"/>
          </w:tcPr>
          <w:p>
            <w:pPr>
              <w:spacing w:after="0"/>
            </w:pPr>
            <w:r>
              <w:rPr>
                <w:rFonts w:ascii="Calibri" w:cs="Calibri" w:eastAsia="Calibri" w:hAnsi="Calibri"/>
                <w:b w:val="false"/>
                <w:bCs w:val="false"/>
                <w:color w:val="1F2A24"/>
                <w:sz w:val="20"/>
                <w:szCs w:val="20"/>
              </w:rPr>
              <w:t xml:space="preserve">Amsterdam, lancering mei 2025</w:t>
            </w:r>
          </w:p>
        </w:tc>
      </w:tr>
      <w:tr>
        <w:trPr>
          <w:tblHeader w:val="false"/>
        </w:trPr>
        <w:tc>
          <w:tcPr>
            <w:tcBorders>
              <w:top w:val="single" w:color="D5E3DA" w:sz="4"/>
              <w:left w:val="single" w:color="D5E3DA" w:sz="4"/>
              <w:bottom w:val="single" w:color="D5E3DA" w:sz="4"/>
              <w:right w:val="single" w:color="D5E3DA" w:sz="4"/>
            </w:tcBorders>
            <w:tcMar>
              <w:top w:type="dxa" w:w="80"/>
              <w:left w:type="dxa" w:w="120"/>
              <w:bottom w:type="dxa" w:w="80"/>
              <w:right w:type="dxa" w:w="120"/>
            </w:tcMar>
            <w:vAlign w:val="center"/>
          </w:tcPr>
          <w:p>
            <w:pPr>
              <w:spacing w:after="0"/>
            </w:pPr>
            <w:r>
              <w:rPr>
                <w:rFonts w:ascii="Calibri" w:cs="Calibri" w:eastAsia="Calibri" w:hAnsi="Calibri"/>
                <w:b w:val="false"/>
                <w:bCs w:val="false"/>
                <w:color w:val="1F2A24"/>
                <w:sz w:val="20"/>
                <w:szCs w:val="20"/>
              </w:rPr>
              <w:t xml:space="preserve">CEO</w:t>
            </w:r>
          </w:p>
        </w:tc>
        <w:tc>
          <w:tcPr>
            <w:tcBorders>
              <w:top w:val="single" w:color="D5E3DA" w:sz="4"/>
              <w:left w:val="single" w:color="D5E3DA" w:sz="4"/>
              <w:bottom w:val="single" w:color="D5E3DA" w:sz="4"/>
              <w:right w:val="single" w:color="D5E3DA" w:sz="4"/>
            </w:tcBorders>
            <w:tcMar>
              <w:top w:type="dxa" w:w="80"/>
              <w:left w:type="dxa" w:w="120"/>
              <w:bottom w:type="dxa" w:w="80"/>
              <w:right w:type="dxa" w:w="120"/>
            </w:tcMar>
            <w:vAlign w:val="center"/>
          </w:tcPr>
          <w:p>
            <w:pPr>
              <w:spacing w:after="0"/>
            </w:pPr>
            <w:r>
              <w:rPr>
                <w:rFonts w:ascii="Calibri" w:cs="Calibri" w:eastAsia="Calibri" w:hAnsi="Calibri"/>
                <w:b w:val="false"/>
                <w:bCs w:val="false"/>
                <w:color w:val="1F2A24"/>
                <w:sz w:val="20"/>
                <w:szCs w:val="20"/>
              </w:rPr>
              <w:t xml:space="preserve">Sebastiaan Kloppenborg</w:t>
            </w:r>
          </w:p>
        </w:tc>
      </w:tr>
      <w:tr>
        <w:trPr>
          <w:tblHeader w:val="false"/>
        </w:trPr>
        <w:tc>
          <w:tcPr>
            <w:tcBorders>
              <w:top w:val="single" w:color="D5E3DA" w:sz="4"/>
              <w:left w:val="single" w:color="D5E3DA" w:sz="4"/>
              <w:bottom w:val="single" w:color="D5E3DA" w:sz="4"/>
              <w:right w:val="single" w:color="D5E3DA" w:sz="4"/>
            </w:tcBorders>
            <w:shd w:fill="F4F9F6" w:val="clear"/>
            <w:tcMar>
              <w:top w:type="dxa" w:w="80"/>
              <w:left w:type="dxa" w:w="120"/>
              <w:bottom w:type="dxa" w:w="80"/>
              <w:right w:type="dxa" w:w="120"/>
            </w:tcMar>
            <w:vAlign w:val="center"/>
          </w:tcPr>
          <w:p>
            <w:pPr>
              <w:spacing w:after="0"/>
            </w:pPr>
            <w:r>
              <w:rPr>
                <w:rFonts w:ascii="Calibri" w:cs="Calibri" w:eastAsia="Calibri" w:hAnsi="Calibri"/>
                <w:b w:val="false"/>
                <w:bCs w:val="false"/>
                <w:color w:val="1F2A24"/>
                <w:sz w:val="20"/>
                <w:szCs w:val="20"/>
              </w:rPr>
              <w:t xml:space="preserve">Funding</w:t>
            </w:r>
          </w:p>
        </w:tc>
        <w:tc>
          <w:tcPr>
            <w:tcBorders>
              <w:top w:val="single" w:color="D5E3DA" w:sz="4"/>
              <w:left w:val="single" w:color="D5E3DA" w:sz="4"/>
              <w:bottom w:val="single" w:color="D5E3DA" w:sz="4"/>
              <w:right w:val="single" w:color="D5E3DA" w:sz="4"/>
            </w:tcBorders>
            <w:shd w:fill="F4F9F6" w:val="clear"/>
            <w:tcMar>
              <w:top w:type="dxa" w:w="80"/>
              <w:left w:type="dxa" w:w="120"/>
              <w:bottom w:type="dxa" w:w="80"/>
              <w:right w:type="dxa" w:w="120"/>
            </w:tcMar>
            <w:vAlign w:val="center"/>
          </w:tcPr>
          <w:p>
            <w:pPr>
              <w:spacing w:after="0"/>
            </w:pPr>
            <w:r>
              <w:rPr>
                <w:rFonts w:ascii="Calibri" w:cs="Calibri" w:eastAsia="Calibri" w:hAnsi="Calibri"/>
                <w:b w:val="false"/>
                <w:bCs w:val="false"/>
                <w:color w:val="1F2A24"/>
                <w:sz w:val="20"/>
                <w:szCs w:val="20"/>
              </w:rPr>
              <w:t xml:space="preserve">€4,3 mln seed (Arches Capital, Antler + angels), mei 2026</w:t>
            </w:r>
          </w:p>
        </w:tc>
      </w:tr>
      <w:tr>
        <w:trPr>
          <w:tblHeader w:val="false"/>
        </w:trPr>
        <w:tc>
          <w:tcPr>
            <w:tcBorders>
              <w:top w:val="single" w:color="D5E3DA" w:sz="4"/>
              <w:left w:val="single" w:color="D5E3DA" w:sz="4"/>
              <w:bottom w:val="single" w:color="D5E3DA" w:sz="4"/>
              <w:right w:val="single" w:color="D5E3DA" w:sz="4"/>
            </w:tcBorders>
            <w:tcMar>
              <w:top w:type="dxa" w:w="80"/>
              <w:left w:type="dxa" w:w="120"/>
              <w:bottom w:type="dxa" w:w="80"/>
              <w:right w:type="dxa" w:w="120"/>
            </w:tcMar>
            <w:vAlign w:val="center"/>
          </w:tcPr>
          <w:p>
            <w:pPr>
              <w:spacing w:after="0"/>
            </w:pPr>
            <w:r>
              <w:rPr>
                <w:rFonts w:ascii="Calibri" w:cs="Calibri" w:eastAsia="Calibri" w:hAnsi="Calibri"/>
                <w:b w:val="false"/>
                <w:bCs w:val="false"/>
                <w:color w:val="1F2A24"/>
                <w:sz w:val="20"/>
                <w:szCs w:val="20"/>
              </w:rPr>
              <w:t xml:space="preserve">Klanten</w:t>
            </w:r>
          </w:p>
        </w:tc>
        <w:tc>
          <w:tcPr>
            <w:tcBorders>
              <w:top w:val="single" w:color="D5E3DA" w:sz="4"/>
              <w:left w:val="single" w:color="D5E3DA" w:sz="4"/>
              <w:bottom w:val="single" w:color="D5E3DA" w:sz="4"/>
              <w:right w:val="single" w:color="D5E3DA" w:sz="4"/>
            </w:tcBorders>
            <w:tcMar>
              <w:top w:type="dxa" w:w="80"/>
              <w:left w:type="dxa" w:w="120"/>
              <w:bottom w:type="dxa" w:w="80"/>
              <w:right w:type="dxa" w:w="120"/>
            </w:tcMar>
            <w:vAlign w:val="center"/>
          </w:tcPr>
          <w:p>
            <w:pPr>
              <w:spacing w:after="0"/>
            </w:pPr>
            <w:r>
              <w:rPr>
                <w:rFonts w:ascii="Calibri" w:cs="Calibri" w:eastAsia="Calibri" w:hAnsi="Calibri"/>
                <w:b w:val="false"/>
                <w:bCs w:val="false"/>
                <w:color w:val="1F2A24"/>
                <w:sz w:val="20"/>
                <w:szCs w:val="20"/>
              </w:rPr>
              <w:t xml:space="preserve">2.200+ makelaars, o.a. Beumer, Schieland Borsboom, Von Poll</w:t>
            </w:r>
          </w:p>
        </w:tc>
      </w:tr>
      <w:tr>
        <w:trPr>
          <w:tblHeader w:val="false"/>
        </w:trPr>
        <w:tc>
          <w:tcPr>
            <w:tcBorders>
              <w:top w:val="single" w:color="D5E3DA" w:sz="4"/>
              <w:left w:val="single" w:color="D5E3DA" w:sz="4"/>
              <w:bottom w:val="single" w:color="D5E3DA" w:sz="4"/>
              <w:right w:val="single" w:color="D5E3DA" w:sz="4"/>
            </w:tcBorders>
            <w:shd w:fill="F4F9F6" w:val="clear"/>
            <w:tcMar>
              <w:top w:type="dxa" w:w="80"/>
              <w:left w:type="dxa" w:w="120"/>
              <w:bottom w:type="dxa" w:w="80"/>
              <w:right w:type="dxa" w:w="120"/>
            </w:tcMar>
            <w:vAlign w:val="center"/>
          </w:tcPr>
          <w:p>
            <w:pPr>
              <w:spacing w:after="0"/>
            </w:pPr>
            <w:r>
              <w:rPr>
                <w:rFonts w:ascii="Calibri" w:cs="Calibri" w:eastAsia="Calibri" w:hAnsi="Calibri"/>
                <w:b w:val="false"/>
                <w:bCs w:val="false"/>
                <w:color w:val="1F2A24"/>
                <w:sz w:val="20"/>
                <w:szCs w:val="20"/>
              </w:rPr>
              <w:t xml:space="preserve">Overname</w:t>
            </w:r>
          </w:p>
        </w:tc>
        <w:tc>
          <w:tcPr>
            <w:tcBorders>
              <w:top w:val="single" w:color="D5E3DA" w:sz="4"/>
              <w:left w:val="single" w:color="D5E3DA" w:sz="4"/>
              <w:bottom w:val="single" w:color="D5E3DA" w:sz="4"/>
              <w:right w:val="single" w:color="D5E3DA" w:sz="4"/>
            </w:tcBorders>
            <w:shd w:fill="F4F9F6" w:val="clear"/>
            <w:tcMar>
              <w:top w:type="dxa" w:w="80"/>
              <w:left w:type="dxa" w:w="120"/>
              <w:bottom w:type="dxa" w:w="80"/>
              <w:right w:type="dxa" w:w="120"/>
            </w:tcMar>
            <w:vAlign w:val="center"/>
          </w:tcPr>
          <w:p>
            <w:pPr>
              <w:spacing w:after="0"/>
            </w:pPr>
            <w:r>
              <w:rPr>
                <w:rFonts w:ascii="Calibri" w:cs="Calibri" w:eastAsia="Calibri" w:hAnsi="Calibri"/>
                <w:b w:val="false"/>
                <w:bCs w:val="false"/>
                <w:color w:val="1F2A24"/>
                <w:sz w:val="20"/>
                <w:szCs w:val="20"/>
              </w:rPr>
              <w:t xml:space="preserve">Friva (jan 2026): van 800 naar 1.500 makelaars, migratie afgerond ±april 2026</w:t>
            </w:r>
          </w:p>
        </w:tc>
      </w:tr>
      <w:tr>
        <w:trPr>
          <w:tblHeader w:val="false"/>
        </w:trPr>
        <w:tc>
          <w:tcPr>
            <w:tcBorders>
              <w:top w:val="single" w:color="D5E3DA" w:sz="4"/>
              <w:left w:val="single" w:color="D5E3DA" w:sz="4"/>
              <w:bottom w:val="single" w:color="D5E3DA" w:sz="4"/>
              <w:right w:val="single" w:color="D5E3DA" w:sz="4"/>
            </w:tcBorders>
            <w:tcMar>
              <w:top w:type="dxa" w:w="80"/>
              <w:left w:type="dxa" w:w="120"/>
              <w:bottom w:type="dxa" w:w="80"/>
              <w:right w:type="dxa" w:w="120"/>
            </w:tcMar>
            <w:vAlign w:val="center"/>
          </w:tcPr>
          <w:p>
            <w:pPr>
              <w:spacing w:after="0"/>
            </w:pPr>
            <w:r>
              <w:rPr>
                <w:rFonts w:ascii="Calibri" w:cs="Calibri" w:eastAsia="Calibri" w:hAnsi="Calibri"/>
                <w:b w:val="false"/>
                <w:bCs w:val="false"/>
                <w:color w:val="1F2A24"/>
                <w:sz w:val="20"/>
                <w:szCs w:val="20"/>
              </w:rPr>
              <w:t xml:space="preserve">Compliance</w:t>
            </w:r>
          </w:p>
        </w:tc>
        <w:tc>
          <w:tcPr>
            <w:tcBorders>
              <w:top w:val="single" w:color="D5E3DA" w:sz="4"/>
              <w:left w:val="single" w:color="D5E3DA" w:sz="4"/>
              <w:bottom w:val="single" w:color="D5E3DA" w:sz="4"/>
              <w:right w:val="single" w:color="D5E3DA" w:sz="4"/>
            </w:tcBorders>
            <w:tcMar>
              <w:top w:type="dxa" w:w="80"/>
              <w:left w:type="dxa" w:w="120"/>
              <w:bottom w:type="dxa" w:w="80"/>
              <w:right w:type="dxa" w:w="120"/>
            </w:tcMar>
            <w:vAlign w:val="center"/>
          </w:tcPr>
          <w:p>
            <w:pPr>
              <w:spacing w:after="0"/>
            </w:pPr>
            <w:r>
              <w:rPr>
                <w:rFonts w:ascii="Calibri" w:cs="Calibri" w:eastAsia="Calibri" w:hAnsi="Calibri"/>
                <w:b w:val="false"/>
                <w:bCs w:val="false"/>
                <w:color w:val="1F2A24"/>
                <w:sz w:val="20"/>
                <w:szCs w:val="20"/>
              </w:rPr>
              <w:t xml:space="preserve">SOC 2 Type 2, AVG, SSL, verwerkersovereenkomst</w:t>
            </w:r>
          </w:p>
        </w:tc>
      </w:tr>
      <w:tr>
        <w:trPr>
          <w:tblHeader w:val="false"/>
        </w:trPr>
        <w:tc>
          <w:tcPr>
            <w:tcBorders>
              <w:top w:val="single" w:color="D5E3DA" w:sz="4"/>
              <w:left w:val="single" w:color="D5E3DA" w:sz="4"/>
              <w:bottom w:val="single" w:color="D5E3DA" w:sz="4"/>
              <w:right w:val="single" w:color="D5E3DA" w:sz="4"/>
            </w:tcBorders>
            <w:shd w:fill="F4F9F6" w:val="clear"/>
            <w:tcMar>
              <w:top w:type="dxa" w:w="80"/>
              <w:left w:type="dxa" w:w="120"/>
              <w:bottom w:type="dxa" w:w="80"/>
              <w:right w:type="dxa" w:w="120"/>
            </w:tcMar>
            <w:vAlign w:val="center"/>
          </w:tcPr>
          <w:p>
            <w:pPr>
              <w:spacing w:after="0"/>
            </w:pPr>
            <w:r>
              <w:rPr>
                <w:rFonts w:ascii="Calibri" w:cs="Calibri" w:eastAsia="Calibri" w:hAnsi="Calibri"/>
                <w:b w:val="false"/>
                <w:bCs w:val="false"/>
                <w:color w:val="1F2A24"/>
                <w:sz w:val="20"/>
                <w:szCs w:val="20"/>
              </w:rPr>
              <w:t xml:space="preserve">Herkomst</w:t>
            </w:r>
          </w:p>
        </w:tc>
        <w:tc>
          <w:tcPr>
            <w:tcBorders>
              <w:top w:val="single" w:color="D5E3DA" w:sz="4"/>
              <w:left w:val="single" w:color="D5E3DA" w:sz="4"/>
              <w:bottom w:val="single" w:color="D5E3DA" w:sz="4"/>
              <w:right w:val="single" w:color="D5E3DA" w:sz="4"/>
            </w:tcBorders>
            <w:shd w:fill="F4F9F6" w:val="clear"/>
            <w:tcMar>
              <w:top w:type="dxa" w:w="80"/>
              <w:left w:type="dxa" w:w="120"/>
              <w:bottom w:type="dxa" w:w="80"/>
              <w:right w:type="dxa" w:w="120"/>
            </w:tcMar>
            <w:vAlign w:val="center"/>
          </w:tcPr>
          <w:p>
            <w:pPr>
              <w:spacing w:after="0"/>
            </w:pPr>
            <w:r>
              <w:rPr>
                <w:rFonts w:ascii="Calibri" w:cs="Calibri" w:eastAsia="Calibri" w:hAnsi="Calibri"/>
                <w:b w:val="false"/>
                <w:bCs w:val="false"/>
                <w:color w:val="1F2A24"/>
                <w:sz w:val="20"/>
                <w:szCs w:val="20"/>
              </w:rPr>
              <w:t xml:space="preserve">Begonnen als bezichtigingsplanner, uitgegroeid tot 'AI-assistent voor makelaars'</w:t>
            </w:r>
          </w:p>
        </w:tc>
      </w:tr>
    </w:tbl>
    <w:p>
      <w:pPr>
        <w:spacing w:after="120"/>
      </w:pPr>
    </w:p>
    <w:p>
      <w:pPr>
        <w:keepNext/>
        <w:spacing w:after="100" w:before="240"/>
      </w:pPr>
      <w:r>
        <w:rPr>
          <w:rFonts w:ascii="Calibri" w:cs="Calibri" w:eastAsia="Calibri" w:hAnsi="Calibri"/>
          <w:b/>
          <w:bCs/>
          <w:color w:val="124A30"/>
          <w:sz w:val="24"/>
          <w:szCs w:val="24"/>
        </w:rPr>
        <w:t xml:space="preserve">Productlijn en prijzen (per makelaar per maand, ex btw)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rPr>
          <w:tblHeader/>
        </w:trPr>
        <w:tc>
          <w:tcPr>
            <w:tcBorders>
              <w:top w:val="single" w:color="D5E3DA" w:sz="4"/>
              <w:left w:val="single" w:color="D5E3DA" w:sz="4"/>
              <w:bottom w:val="single" w:color="D5E3DA" w:sz="4"/>
              <w:right w:val="single" w:color="D5E3DA" w:sz="4"/>
            </w:tcBorders>
            <w:shd w:fill="1A6B45"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Product</w:t>
            </w:r>
          </w:p>
        </w:tc>
        <w:tc>
          <w:tcPr>
            <w:tcBorders>
              <w:top w:val="single" w:color="D5E3DA" w:sz="4"/>
              <w:left w:val="single" w:color="D5E3DA" w:sz="4"/>
              <w:bottom w:val="single" w:color="D5E3DA" w:sz="4"/>
              <w:right w:val="single" w:color="D5E3DA" w:sz="4"/>
            </w:tcBorders>
            <w:shd w:fill="1A6B45"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Prijs</w:t>
            </w:r>
          </w:p>
        </w:tc>
        <w:tc>
          <w:tcPr>
            <w:tcBorders>
              <w:top w:val="single" w:color="D5E3DA" w:sz="4"/>
              <w:left w:val="single" w:color="D5E3DA" w:sz="4"/>
              <w:bottom w:val="single" w:color="D5E3DA" w:sz="4"/>
              <w:right w:val="single" w:color="D5E3DA" w:sz="4"/>
            </w:tcBorders>
            <w:shd w:fill="1A6B45"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Wat het doet</w:t>
            </w:r>
          </w:p>
        </w:tc>
      </w:tr>
      <w:tr>
        <w:trPr>
          <w:tblHeader w:val="false"/>
        </w:trPr>
        <w:tc>
          <w:tcPr>
            <w:tcBorders>
              <w:top w:val="single" w:color="D5E3DA" w:sz="4"/>
              <w:left w:val="single" w:color="D5E3DA" w:sz="4"/>
              <w:bottom w:val="single" w:color="D5E3DA" w:sz="4"/>
              <w:right w:val="single" w:color="D5E3DA" w:sz="4"/>
            </w:tcBorders>
            <w:shd w:fill="F4F9F6" w:val="clear"/>
            <w:tcMar>
              <w:top w:type="dxa" w:w="80"/>
              <w:left w:type="dxa" w:w="120"/>
              <w:bottom w:type="dxa" w:w="80"/>
              <w:right w:type="dxa" w:w="120"/>
            </w:tcMar>
            <w:vAlign w:val="center"/>
          </w:tcPr>
          <w:p>
            <w:pPr>
              <w:spacing w:after="0"/>
            </w:pPr>
            <w:r>
              <w:rPr>
                <w:rFonts w:ascii="Calibri" w:cs="Calibri" w:eastAsia="Calibri" w:hAnsi="Calibri"/>
                <w:b w:val="false"/>
                <w:bCs w:val="false"/>
                <w:color w:val="1F2A24"/>
                <w:sz w:val="20"/>
                <w:szCs w:val="20"/>
              </w:rPr>
              <w:t xml:space="preserve">Inbox</w:t>
            </w:r>
          </w:p>
        </w:tc>
        <w:tc>
          <w:tcPr>
            <w:tcBorders>
              <w:top w:val="single" w:color="D5E3DA" w:sz="4"/>
              <w:left w:val="single" w:color="D5E3DA" w:sz="4"/>
              <w:bottom w:val="single" w:color="D5E3DA" w:sz="4"/>
              <w:right w:val="single" w:color="D5E3DA" w:sz="4"/>
            </w:tcBorders>
            <w:shd w:fill="F4F9F6" w:val="clear"/>
            <w:tcMar>
              <w:top w:type="dxa" w:w="80"/>
              <w:left w:type="dxa" w:w="120"/>
              <w:bottom w:type="dxa" w:w="80"/>
              <w:right w:type="dxa" w:w="120"/>
            </w:tcMar>
            <w:vAlign w:val="center"/>
          </w:tcPr>
          <w:p>
            <w:pPr>
              <w:spacing w:after="0"/>
            </w:pPr>
            <w:r>
              <w:rPr>
                <w:rFonts w:ascii="Calibri" w:cs="Calibri" w:eastAsia="Calibri" w:hAnsi="Calibri"/>
                <w:b w:val="false"/>
                <w:bCs w:val="false"/>
                <w:color w:val="1F2A24"/>
                <w:sz w:val="20"/>
                <w:szCs w:val="20"/>
              </w:rPr>
              <w:t xml:space="preserve">€69</w:t>
            </w:r>
          </w:p>
        </w:tc>
        <w:tc>
          <w:tcPr>
            <w:tcBorders>
              <w:top w:val="single" w:color="D5E3DA" w:sz="4"/>
              <w:left w:val="single" w:color="D5E3DA" w:sz="4"/>
              <w:bottom w:val="single" w:color="D5E3DA" w:sz="4"/>
              <w:right w:val="single" w:color="D5E3DA" w:sz="4"/>
            </w:tcBorders>
            <w:shd w:fill="F4F9F6" w:val="clear"/>
            <w:tcMar>
              <w:top w:type="dxa" w:w="80"/>
              <w:left w:type="dxa" w:w="120"/>
              <w:bottom w:type="dxa" w:w="80"/>
              <w:right w:type="dxa" w:w="120"/>
            </w:tcMar>
            <w:vAlign w:val="center"/>
          </w:tcPr>
          <w:p>
            <w:pPr>
              <w:spacing w:after="0"/>
            </w:pPr>
            <w:r>
              <w:rPr>
                <w:rFonts w:ascii="Calibri" w:cs="Calibri" w:eastAsia="Calibri" w:hAnsi="Calibri"/>
                <w:b w:val="false"/>
                <w:bCs w:val="false"/>
                <w:color w:val="1F2A24"/>
                <w:sz w:val="20"/>
                <w:szCs w:val="20"/>
              </w:rPr>
              <w:t xml:space="preserve">AI-inbox voor e-mail én WhatsApp: slimme labels, AI-herschrijven, antwoordsuggesties, AI getraind op het eigen kantoor, Gmail/Outlook, koppeling Realworks &amp; Kolibri</w:t>
            </w:r>
          </w:p>
        </w:tc>
      </w:tr>
      <w:tr>
        <w:trPr>
          <w:tblHeader w:val="false"/>
        </w:trPr>
        <w:tc>
          <w:tcPr>
            <w:tcBorders>
              <w:top w:val="single" w:color="D5E3DA" w:sz="4"/>
              <w:left w:val="single" w:color="D5E3DA" w:sz="4"/>
              <w:bottom w:val="single" w:color="D5E3DA" w:sz="4"/>
              <w:right w:val="single" w:color="D5E3DA" w:sz="4"/>
            </w:tcBorders>
            <w:tcMar>
              <w:top w:type="dxa" w:w="80"/>
              <w:left w:type="dxa" w:w="120"/>
              <w:bottom w:type="dxa" w:w="80"/>
              <w:right w:type="dxa" w:w="120"/>
            </w:tcMar>
            <w:vAlign w:val="center"/>
          </w:tcPr>
          <w:p>
            <w:pPr>
              <w:spacing w:after="0"/>
            </w:pPr>
            <w:r>
              <w:rPr>
                <w:rFonts w:ascii="Calibri" w:cs="Calibri" w:eastAsia="Calibri" w:hAnsi="Calibri"/>
                <w:b w:val="false"/>
                <w:bCs w:val="false"/>
                <w:color w:val="1F2A24"/>
                <w:sz w:val="20"/>
                <w:szCs w:val="20"/>
              </w:rPr>
              <w:t xml:space="preserve">Planner</w:t>
            </w:r>
          </w:p>
        </w:tc>
        <w:tc>
          <w:tcPr>
            <w:tcBorders>
              <w:top w:val="single" w:color="D5E3DA" w:sz="4"/>
              <w:left w:val="single" w:color="D5E3DA" w:sz="4"/>
              <w:bottom w:val="single" w:color="D5E3DA" w:sz="4"/>
              <w:right w:val="single" w:color="D5E3DA" w:sz="4"/>
            </w:tcBorders>
            <w:tcMar>
              <w:top w:type="dxa" w:w="80"/>
              <w:left w:type="dxa" w:w="120"/>
              <w:bottom w:type="dxa" w:w="80"/>
              <w:right w:type="dxa" w:w="120"/>
            </w:tcMar>
            <w:vAlign w:val="center"/>
          </w:tcPr>
          <w:p>
            <w:pPr>
              <w:spacing w:after="0"/>
            </w:pPr>
            <w:r>
              <w:rPr>
                <w:rFonts w:ascii="Calibri" w:cs="Calibri" w:eastAsia="Calibri" w:hAnsi="Calibri"/>
                <w:b w:val="false"/>
                <w:bCs w:val="false"/>
                <w:color w:val="1F2A24"/>
                <w:sz w:val="20"/>
                <w:szCs w:val="20"/>
              </w:rPr>
              <w:t xml:space="preserve">€69</w:t>
            </w:r>
          </w:p>
        </w:tc>
        <w:tc>
          <w:tcPr>
            <w:tcBorders>
              <w:top w:val="single" w:color="D5E3DA" w:sz="4"/>
              <w:left w:val="single" w:color="D5E3DA" w:sz="4"/>
              <w:bottom w:val="single" w:color="D5E3DA" w:sz="4"/>
              <w:right w:val="single" w:color="D5E3DA" w:sz="4"/>
            </w:tcBorders>
            <w:tcMar>
              <w:top w:type="dxa" w:w="80"/>
              <w:left w:type="dxa" w:w="120"/>
              <w:bottom w:type="dxa" w:w="80"/>
              <w:right w:type="dxa" w:w="120"/>
            </w:tcMar>
            <w:vAlign w:val="center"/>
          </w:tcPr>
          <w:p>
            <w:pPr>
              <w:spacing w:after="0"/>
            </w:pPr>
            <w:r>
              <w:rPr>
                <w:rFonts w:ascii="Calibri" w:cs="Calibri" w:eastAsia="Calibri" w:hAnsi="Calibri"/>
                <w:b w:val="false"/>
                <w:bCs w:val="false"/>
                <w:color w:val="1F2A24"/>
                <w:sz w:val="20"/>
                <w:szCs w:val="20"/>
              </w:rPr>
              <w:t xml:space="preserve">Bezichtigingsplanner: widget op eigen site, automatische verwerking van Funda/Pararius-aanvragen, bevestigingen en reminders, wachtlijsten, agenda-koppeling</w:t>
            </w:r>
          </w:p>
        </w:tc>
      </w:tr>
      <w:tr>
        <w:trPr>
          <w:tblHeader w:val="false"/>
        </w:trPr>
        <w:tc>
          <w:tcPr>
            <w:tcBorders>
              <w:top w:val="single" w:color="D5E3DA" w:sz="4"/>
              <w:left w:val="single" w:color="D5E3DA" w:sz="4"/>
              <w:bottom w:val="single" w:color="D5E3DA" w:sz="4"/>
              <w:right w:val="single" w:color="D5E3DA" w:sz="4"/>
            </w:tcBorders>
            <w:shd w:fill="F4F9F6" w:val="clear"/>
            <w:tcMar>
              <w:top w:type="dxa" w:w="80"/>
              <w:left w:type="dxa" w:w="120"/>
              <w:bottom w:type="dxa" w:w="80"/>
              <w:right w:type="dxa" w:w="120"/>
            </w:tcMar>
            <w:vAlign w:val="center"/>
          </w:tcPr>
          <w:p>
            <w:pPr>
              <w:spacing w:after="0"/>
            </w:pPr>
            <w:r>
              <w:rPr>
                <w:rFonts w:ascii="Calibri" w:cs="Calibri" w:eastAsia="Calibri" w:hAnsi="Calibri"/>
                <w:b w:val="false"/>
                <w:bCs w:val="false"/>
                <w:color w:val="1F2A24"/>
                <w:sz w:val="20"/>
                <w:szCs w:val="20"/>
              </w:rPr>
              <w:t xml:space="preserve">Grow</w:t>
            </w:r>
          </w:p>
        </w:tc>
        <w:tc>
          <w:tcPr>
            <w:tcBorders>
              <w:top w:val="single" w:color="D5E3DA" w:sz="4"/>
              <w:left w:val="single" w:color="D5E3DA" w:sz="4"/>
              <w:bottom w:val="single" w:color="D5E3DA" w:sz="4"/>
              <w:right w:val="single" w:color="D5E3DA" w:sz="4"/>
            </w:tcBorders>
            <w:shd w:fill="F4F9F6" w:val="clear"/>
            <w:tcMar>
              <w:top w:type="dxa" w:w="80"/>
              <w:left w:type="dxa" w:w="120"/>
              <w:bottom w:type="dxa" w:w="80"/>
              <w:right w:type="dxa" w:w="120"/>
            </w:tcMar>
            <w:vAlign w:val="center"/>
          </w:tcPr>
          <w:p>
            <w:pPr>
              <w:spacing w:after="0"/>
            </w:pPr>
            <w:r>
              <w:rPr>
                <w:rFonts w:ascii="Calibri" w:cs="Calibri" w:eastAsia="Calibri" w:hAnsi="Calibri"/>
                <w:b w:val="false"/>
                <w:bCs w:val="false"/>
                <w:color w:val="1F2A24"/>
                <w:sz w:val="20"/>
                <w:szCs w:val="20"/>
              </w:rPr>
              <w:t xml:space="preserve">€29</w:t>
            </w:r>
          </w:p>
        </w:tc>
        <w:tc>
          <w:tcPr>
            <w:tcBorders>
              <w:top w:val="single" w:color="D5E3DA" w:sz="4"/>
              <w:left w:val="single" w:color="D5E3DA" w:sz="4"/>
              <w:bottom w:val="single" w:color="D5E3DA" w:sz="4"/>
              <w:right w:val="single" w:color="D5E3DA" w:sz="4"/>
            </w:tcBorders>
            <w:shd w:fill="F4F9F6" w:val="clear"/>
            <w:tcMar>
              <w:top w:type="dxa" w:w="80"/>
              <w:left w:type="dxa" w:w="120"/>
              <w:bottom w:type="dxa" w:w="80"/>
              <w:right w:type="dxa" w:w="120"/>
            </w:tcMar>
            <w:vAlign w:val="center"/>
          </w:tcPr>
          <w:p>
            <w:pPr>
              <w:spacing w:after="0"/>
            </w:pPr>
            <w:r>
              <w:rPr>
                <w:rFonts w:ascii="Calibri" w:cs="Calibri" w:eastAsia="Calibri" w:hAnsi="Calibri"/>
                <w:b w:val="false"/>
                <w:bCs w:val="false"/>
                <w:color w:val="1F2A24"/>
                <w:sz w:val="20"/>
                <w:szCs w:val="20"/>
              </w:rPr>
              <w:t xml:space="preserve">Leadgeneratie: widgets en formulieren, automatische woningwaardering, geautomatiseerde opvolging via e-mail en WhatsApp, AI-getimede berichten</w:t>
            </w:r>
          </w:p>
        </w:tc>
      </w:tr>
    </w:tbl>
    <w:p>
      <w:pPr>
        <w:spacing w:after="120"/>
      </w:pPr>
    </w:p>
    <w:p>
      <w:pPr>
        <w:spacing w:after="160" w:line="300"/>
      </w:pPr>
      <w:r>
        <w:rPr>
          <w:rFonts w:ascii="Calibri" w:cs="Calibri" w:eastAsia="Calibri" w:hAnsi="Calibri"/>
          <w:color w:val="1F2A24"/>
          <w:sz w:val="22"/>
          <w:szCs w:val="22"/>
        </w:rPr>
        <w:t xml:space="preserve">Alle producten: eerste 30 dagen gratis, geen verplichtingen, maandelijks opzegbaar. Back-office-medewerkers zijn altijd gratis — alleen makelaars die bezichtigingen doen tellen als betaalde seat.</w:t>
      </w:r>
    </w:p>
    <w:p>
      <w:pPr>
        <w:spacing w:after="160" w:line="300"/>
      </w:pPr>
      <w:r>
        <w:rPr>
          <w:rFonts w:ascii="Calibri" w:cs="Calibri" w:eastAsia="Calibri" w:hAnsi="Calibri"/>
          <w:b/>
          <w:bCs/>
          <w:color w:val="1F2A24"/>
          <w:sz w:val="22"/>
          <w:szCs w:val="22"/>
        </w:rPr>
        <w:t xml:space="preserve">Rekenvoorbeeld:</w:t>
      </w:r>
      <w:r>
        <w:rPr>
          <w:rFonts w:ascii="Calibri" w:cs="Calibri" w:eastAsia="Calibri" w:hAnsi="Calibri"/>
          <w:color w:val="1F2A24"/>
          <w:sz w:val="22"/>
          <w:szCs w:val="22"/>
        </w:rPr>
        <w:t xml:space="preserve"> een kantoor met 4 makelaars dat de volledige HousApp-suite afneemt betaalt 4 × €167 = </w:t>
      </w:r>
      <w:r>
        <w:rPr>
          <w:rFonts w:ascii="Calibri" w:cs="Calibri" w:eastAsia="Calibri" w:hAnsi="Calibri"/>
          <w:b/>
          <w:bCs/>
          <w:color w:val="1F2A24"/>
          <w:sz w:val="22"/>
          <w:szCs w:val="22"/>
        </w:rPr>
        <w:t xml:space="preserve">€668 per maand</w:t>
      </w:r>
      <w:r>
        <w:rPr>
          <w:rFonts w:ascii="Calibri" w:cs="Calibri" w:eastAsia="Calibri" w:hAnsi="Calibri"/>
          <w:color w:val="1F2A24"/>
          <w:sz w:val="22"/>
          <w:szCs w:val="22"/>
        </w:rPr>
        <w:t xml:space="preserve">. Ter vergelijking: VestaAI Pro kost dat kantoor €150 per maand vast, ongeacht het aantal objecten.</w:t>
      </w:r>
    </w:p>
    <w:p>
      <w:pPr>
        <w:keepNext/>
        <w:spacing w:after="100" w:before="240"/>
      </w:pPr>
      <w:r>
        <w:rPr>
          <w:rFonts w:ascii="Calibri" w:cs="Calibri" w:eastAsia="Calibri" w:hAnsi="Calibri"/>
          <w:b/>
          <w:bCs/>
          <w:color w:val="124A30"/>
          <w:sz w:val="24"/>
          <w:szCs w:val="24"/>
        </w:rPr>
        <w:t xml:space="preserve">Wat HousApp níet doet (vandaag)</w:t>
      </w:r>
    </w:p>
    <w:p>
      <w:pPr>
        <w:spacing w:after="160" w:line="300"/>
      </w:pPr>
      <w:r>
        <w:rPr>
          <w:rFonts w:ascii="Calibri" w:cs="Calibri" w:eastAsia="Calibri" w:hAnsi="Calibri"/>
          <w:color w:val="1F2A24"/>
          <w:sz w:val="22"/>
          <w:szCs w:val="22"/>
        </w:rPr>
        <w:t xml:space="preserve">Geen woningteksten, geen brochures, geen social-media-content, geen buurtomschrijvingen, geen foto-verbetering, geen virtual staging, geen PDF-export. Op de hele site en in alle persberichten komt contentgeneratie niet voor. </w:t>
      </w:r>
      <w:r>
        <w:rPr>
          <w:rFonts w:ascii="Calibri" w:cs="Calibri" w:eastAsia="Calibri" w:hAnsi="Calibri"/>
          <w:b/>
          <w:bCs/>
          <w:color w:val="1F2A24"/>
          <w:sz w:val="22"/>
          <w:szCs w:val="22"/>
        </w:rPr>
        <w:t xml:space="preserve">De volledige VestaAI-kernpropositie is bij HousApp afwezig.</w:t>
      </w:r>
    </w:p>
    <w:p>
      <w:pPr>
        <w:keepNext/>
        <w:spacing w:after="100" w:before="240"/>
      </w:pPr>
      <w:r>
        <w:rPr>
          <w:rFonts w:ascii="Calibri" w:cs="Calibri" w:eastAsia="Calibri" w:hAnsi="Calibri"/>
          <w:b/>
          <w:bCs/>
          <w:color w:val="124A30"/>
          <w:sz w:val="24"/>
          <w:szCs w:val="24"/>
        </w:rPr>
        <w:t xml:space="preserve">Waarom HousApp toch de belangrijkste dreiging is</w:t>
      </w:r>
    </w:p>
    <w:p>
      <w:pPr>
        <w:pStyle w:val="ListParagraph"/>
        <w:numPr>
          <w:ilvl w:val="0"/>
          <w:numId w:val="3"/>
        </w:numPr>
        <w:spacing w:after="100" w:line="290"/>
      </w:pPr>
      <w:r>
        <w:rPr>
          <w:rFonts w:ascii="Calibri" w:cs="Calibri" w:eastAsia="Calibri" w:hAnsi="Calibri"/>
          <w:b/>
          <w:bCs/>
          <w:color w:val="1F2A24"/>
          <w:sz w:val="22"/>
          <w:szCs w:val="22"/>
        </w:rPr>
        <w:t xml:space="preserve">Platformambitie.</w:t>
      </w:r>
      <w:r>
        <w:rPr>
          <w:rFonts w:ascii="Calibri" w:cs="Calibri" w:eastAsia="Calibri" w:hAnsi="Calibri"/>
          <w:color w:val="1F2A24"/>
          <w:sz w:val="22"/>
          <w:szCs w:val="22"/>
        </w:rPr>
        <w:t xml:space="preserve"> Kloppenborg letterlijk: HousApp moet de plek worden waar de makelaar alles regelt, "van eerste verkopercontact tot closing". Een woning aanmelden zonder tekst en brochure bestaat niet — content is een logische volgende module.</w:t>
      </w:r>
    </w:p>
    <w:p>
      <w:pPr>
        <w:pStyle w:val="ListParagraph"/>
        <w:numPr>
          <w:ilvl w:val="0"/>
          <w:numId w:val="3"/>
        </w:numPr>
        <w:spacing w:after="100" w:line="290"/>
      </w:pPr>
      <w:r>
        <w:rPr>
          <w:rFonts w:ascii="Calibri" w:cs="Calibri" w:eastAsia="Calibri" w:hAnsi="Calibri"/>
          <w:b/>
          <w:bCs/>
          <w:color w:val="1F2A24"/>
          <w:sz w:val="22"/>
          <w:szCs w:val="22"/>
        </w:rPr>
        <w:t xml:space="preserve">Distributie.</w:t>
      </w:r>
      <w:r>
        <w:rPr>
          <w:rFonts w:ascii="Calibri" w:cs="Calibri" w:eastAsia="Calibri" w:hAnsi="Calibri"/>
          <w:color w:val="1F2A24"/>
          <w:sz w:val="22"/>
          <w:szCs w:val="22"/>
        </w:rPr>
        <w:t xml:space="preserve"> 2.200+ makelaars die al inloggen. Een content-module erbij is voor hen één upsell-e-mail; voor ons is elke klant koude acquisitie.</w:t>
      </w:r>
    </w:p>
    <w:p>
      <w:pPr>
        <w:pStyle w:val="ListParagraph"/>
        <w:numPr>
          <w:ilvl w:val="0"/>
          <w:numId w:val="3"/>
        </w:numPr>
        <w:spacing w:after="100" w:line="290"/>
      </w:pPr>
      <w:r>
        <w:rPr>
          <w:rFonts w:ascii="Calibri" w:cs="Calibri" w:eastAsia="Calibri" w:hAnsi="Calibri"/>
          <w:b/>
          <w:bCs/>
          <w:color w:val="1F2A24"/>
          <w:sz w:val="22"/>
          <w:szCs w:val="22"/>
        </w:rPr>
        <w:t xml:space="preserve">Tempo en kapitaal.</w:t>
      </w:r>
      <w:r>
        <w:rPr>
          <w:rFonts w:ascii="Calibri" w:cs="Calibri" w:eastAsia="Calibri" w:hAnsi="Calibri"/>
          <w:color w:val="1F2A24"/>
          <w:sz w:val="22"/>
          <w:szCs w:val="22"/>
        </w:rPr>
        <w:t xml:space="preserve"> Binnen een jaar na lancering een concurrent overgenomen en €4,3 mln opgehaald om "productontwikkeling te versnellen" en tech-talent aan te trekken.</w:t>
      </w:r>
    </w:p>
    <w:p>
      <w:pPr>
        <w:pStyle w:val="ListParagraph"/>
        <w:numPr>
          <w:ilvl w:val="0"/>
          <w:numId w:val="3"/>
        </w:numPr>
        <w:spacing w:after="100" w:line="290"/>
      </w:pPr>
      <w:r>
        <w:rPr>
          <w:rFonts w:ascii="Calibri" w:cs="Calibri" w:eastAsia="Calibri" w:hAnsi="Calibri"/>
          <w:b/>
          <w:bCs/>
          <w:color w:val="1F2A24"/>
          <w:sz w:val="22"/>
          <w:szCs w:val="22"/>
        </w:rPr>
        <w:t xml:space="preserve">AI-DNA.</w:t>
      </w:r>
      <w:r>
        <w:rPr>
          <w:rFonts w:ascii="Calibri" w:cs="Calibri" w:eastAsia="Calibri" w:hAnsi="Calibri"/>
          <w:color w:val="1F2A24"/>
          <w:sz w:val="22"/>
          <w:szCs w:val="22"/>
        </w:rPr>
        <w:t xml:space="preserve"> Ze positioneren zich al als "de AI-assistent voor makelaars" en trainen AI op de stijl van het kantoor voor e-mailantwoorden — technisch is dat een half stapje verwijderd van huisstijl-getrainde woningteksten.</w:t>
      </w:r>
    </w:p>
    <w:p>
      <w:pPr>
        <w:spacing w:after="160" w:line="300"/>
      </w:pPr>
      <w:r>
        <w:rPr>
          <w:rFonts w:ascii="Calibri" w:cs="Calibri" w:eastAsia="Calibri" w:hAnsi="Calibri"/>
          <w:color w:val="1F2A24"/>
          <w:sz w:val="22"/>
          <w:szCs w:val="22"/>
        </w:rPr>
        <w:t xml:space="preserve">De inschatting uit goals.md ("CRM-spelers voegen AI toe: 12–18 maanden reactietijd") is voor HousApp te optimistisch: dit is geen trage CRM-speler maar een gefund, product-gedreven team. Realistische aanname: </w:t>
      </w:r>
      <w:r>
        <w:rPr>
          <w:rFonts w:ascii="Calibri" w:cs="Calibri" w:eastAsia="Calibri" w:hAnsi="Calibri"/>
          <w:b/>
          <w:bCs/>
          <w:color w:val="1F2A24"/>
          <w:sz w:val="22"/>
          <w:szCs w:val="22"/>
        </w:rPr>
        <w:t xml:space="preserve">HousApp kán binnen 6–12 maanden een content-module lanceren zodra ze besluiten dat te willen.</w:t>
      </w:r>
    </w:p>
    <w:p>
      <w:pPr>
        <w:keepNext/>
        <w:pBdr>
          <w:bottom w:val="single" w:color="D5E3DA" w:sz="6" w:space="4"/>
        </w:pBdr>
        <w:spacing w:after="160" w:before="360"/>
      </w:pPr>
      <w:r>
        <w:rPr>
          <w:rFonts w:ascii="Calibri" w:cs="Calibri" w:eastAsia="Calibri" w:hAnsi="Calibri"/>
          <w:b/>
          <w:bCs/>
          <w:color w:val="1A6B45"/>
          <w:sz w:val="30"/>
          <w:szCs w:val="30"/>
        </w:rPr>
        <w:t xml:space="preserve">4. Feature-matrix: VestaAI vs. HousApp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rPr>
          <w:tblHeader/>
        </w:trPr>
        <w:tc>
          <w:tcPr>
            <w:tcBorders>
              <w:top w:val="single" w:color="D5E3DA" w:sz="4"/>
              <w:left w:val="single" w:color="D5E3DA" w:sz="4"/>
              <w:bottom w:val="single" w:color="D5E3DA" w:sz="4"/>
              <w:right w:val="single" w:color="D5E3DA" w:sz="4"/>
            </w:tcBorders>
            <w:shd w:fill="1A6B45"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Categorie</w:t>
            </w:r>
          </w:p>
        </w:tc>
        <w:tc>
          <w:tcPr>
            <w:tcBorders>
              <w:top w:val="single" w:color="D5E3DA" w:sz="4"/>
              <w:left w:val="single" w:color="D5E3DA" w:sz="4"/>
              <w:bottom w:val="single" w:color="D5E3DA" w:sz="4"/>
              <w:right w:val="single" w:color="D5E3DA" w:sz="4"/>
            </w:tcBorders>
            <w:shd w:fill="1A6B45"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VestaAI</w:t>
            </w:r>
          </w:p>
        </w:tc>
        <w:tc>
          <w:tcPr>
            <w:tcBorders>
              <w:top w:val="single" w:color="D5E3DA" w:sz="4"/>
              <w:left w:val="single" w:color="D5E3DA" w:sz="4"/>
              <w:bottom w:val="single" w:color="D5E3DA" w:sz="4"/>
              <w:right w:val="single" w:color="D5E3DA" w:sz="4"/>
            </w:tcBorders>
            <w:shd w:fill="1A6B45"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HousApp</w:t>
            </w:r>
          </w:p>
        </w:tc>
      </w:tr>
      <w:tr>
        <w:trPr>
          <w:tblHeader w:val="false"/>
        </w:trPr>
        <w:tc>
          <w:tcPr>
            <w:tcBorders>
              <w:top w:val="single" w:color="D5E3DA" w:sz="4"/>
              <w:left w:val="single" w:color="D5E3DA" w:sz="4"/>
              <w:bottom w:val="single" w:color="D5E3DA" w:sz="4"/>
              <w:right w:val="single" w:color="D5E3DA" w:sz="4"/>
            </w:tcBorders>
            <w:shd w:fill="F4F9F6" w:val="clear"/>
            <w:tcMar>
              <w:top w:type="dxa" w:w="80"/>
              <w:left w:type="dxa" w:w="120"/>
              <w:bottom w:type="dxa" w:w="80"/>
              <w:right w:type="dxa" w:w="120"/>
            </w:tcMar>
            <w:vAlign w:val="center"/>
          </w:tcPr>
          <w:p>
            <w:pPr>
              <w:spacing w:after="0"/>
            </w:pPr>
            <w:r>
              <w:rPr>
                <w:rFonts w:ascii="Calibri" w:cs="Calibri" w:eastAsia="Calibri" w:hAnsi="Calibri"/>
                <w:b w:val="false"/>
                <w:bCs w:val="false"/>
                <w:color w:val="1F2A24"/>
                <w:sz w:val="20"/>
                <w:szCs w:val="20"/>
              </w:rPr>
              <w:t xml:space="preserve">Woningteksten (Funda-regelset)</w:t>
            </w:r>
          </w:p>
        </w:tc>
        <w:tc>
          <w:tcPr>
            <w:tcBorders>
              <w:top w:val="single" w:color="D5E3DA" w:sz="4"/>
              <w:left w:val="single" w:color="D5E3DA" w:sz="4"/>
              <w:bottom w:val="single" w:color="D5E3DA" w:sz="4"/>
              <w:right w:val="single" w:color="D5E3DA" w:sz="4"/>
            </w:tcBorders>
            <w:shd w:fill="F4F9F6" w:val="clear"/>
            <w:tcMar>
              <w:top w:type="dxa" w:w="80"/>
              <w:left w:type="dxa" w:w="120"/>
              <w:bottom w:type="dxa" w:w="80"/>
              <w:right w:type="dxa" w:w="120"/>
            </w:tcMar>
            <w:vAlign w:val="center"/>
          </w:tcPr>
          <w:p>
            <w:pPr>
              <w:spacing w:after="0"/>
            </w:pPr>
            <w:r>
              <w:rPr>
                <w:rFonts w:ascii="Calibri" w:cs="Calibri" w:eastAsia="Calibri" w:hAnsi="Calibri"/>
                <w:b w:val="false"/>
                <w:bCs w:val="false"/>
                <w:color w:val="1F2A24"/>
                <w:sz w:val="20"/>
                <w:szCs w:val="20"/>
              </w:rPr>
              <w:t xml:space="preserve">Ja — kern</w:t>
            </w:r>
          </w:p>
        </w:tc>
        <w:tc>
          <w:tcPr>
            <w:tcBorders>
              <w:top w:val="single" w:color="D5E3DA" w:sz="4"/>
              <w:left w:val="single" w:color="D5E3DA" w:sz="4"/>
              <w:bottom w:val="single" w:color="D5E3DA" w:sz="4"/>
              <w:right w:val="single" w:color="D5E3DA" w:sz="4"/>
            </w:tcBorders>
            <w:shd w:fill="F4F9F6" w:val="clear"/>
            <w:tcMar>
              <w:top w:type="dxa" w:w="80"/>
              <w:left w:type="dxa" w:w="120"/>
              <w:bottom w:type="dxa" w:w="80"/>
              <w:right w:type="dxa" w:w="120"/>
            </w:tcMar>
            <w:vAlign w:val="center"/>
          </w:tcPr>
          <w:p>
            <w:pPr>
              <w:spacing w:after="0"/>
            </w:pPr>
            <w:r>
              <w:rPr>
                <w:rFonts w:ascii="Calibri" w:cs="Calibri" w:eastAsia="Calibri" w:hAnsi="Calibri"/>
                <w:b w:val="false"/>
                <w:bCs w:val="false"/>
                <w:color w:val="1F2A24"/>
                <w:sz w:val="20"/>
                <w:szCs w:val="20"/>
              </w:rPr>
              <w:t xml:space="preserve">Nee</w:t>
            </w:r>
          </w:p>
        </w:tc>
      </w:tr>
      <w:tr>
        <w:trPr>
          <w:tblHeader w:val="false"/>
        </w:trPr>
        <w:tc>
          <w:tcPr>
            <w:tcBorders>
              <w:top w:val="single" w:color="D5E3DA" w:sz="4"/>
              <w:left w:val="single" w:color="D5E3DA" w:sz="4"/>
              <w:bottom w:val="single" w:color="D5E3DA" w:sz="4"/>
              <w:right w:val="single" w:color="D5E3DA" w:sz="4"/>
            </w:tcBorders>
            <w:tcMar>
              <w:top w:type="dxa" w:w="80"/>
              <w:left w:type="dxa" w:w="120"/>
              <w:bottom w:type="dxa" w:w="80"/>
              <w:right w:type="dxa" w:w="120"/>
            </w:tcMar>
            <w:vAlign w:val="center"/>
          </w:tcPr>
          <w:p>
            <w:pPr>
              <w:spacing w:after="0"/>
            </w:pPr>
            <w:r>
              <w:rPr>
                <w:rFonts w:ascii="Calibri" w:cs="Calibri" w:eastAsia="Calibri" w:hAnsi="Calibri"/>
                <w:b w:val="false"/>
                <w:bCs w:val="false"/>
                <w:color w:val="1F2A24"/>
                <w:sz w:val="20"/>
                <w:szCs w:val="20"/>
              </w:rPr>
              <w:t xml:space="preserve">Brochures + PDF-export</w:t>
            </w:r>
          </w:p>
        </w:tc>
        <w:tc>
          <w:tcPr>
            <w:tcBorders>
              <w:top w:val="single" w:color="D5E3DA" w:sz="4"/>
              <w:left w:val="single" w:color="D5E3DA" w:sz="4"/>
              <w:bottom w:val="single" w:color="D5E3DA" w:sz="4"/>
              <w:right w:val="single" w:color="D5E3DA" w:sz="4"/>
            </w:tcBorders>
            <w:tcMar>
              <w:top w:type="dxa" w:w="80"/>
              <w:left w:type="dxa" w:w="120"/>
              <w:bottom w:type="dxa" w:w="80"/>
              <w:right w:type="dxa" w:w="120"/>
            </w:tcMar>
            <w:vAlign w:val="center"/>
          </w:tcPr>
          <w:p>
            <w:pPr>
              <w:spacing w:after="0"/>
            </w:pPr>
            <w:r>
              <w:rPr>
                <w:rFonts w:ascii="Calibri" w:cs="Calibri" w:eastAsia="Calibri" w:hAnsi="Calibri"/>
                <w:b w:val="false"/>
                <w:bCs w:val="false"/>
                <w:color w:val="1F2A24"/>
                <w:sz w:val="20"/>
                <w:szCs w:val="20"/>
              </w:rPr>
              <w:t xml:space="preserve">Ja</w:t>
            </w:r>
          </w:p>
        </w:tc>
        <w:tc>
          <w:tcPr>
            <w:tcBorders>
              <w:top w:val="single" w:color="D5E3DA" w:sz="4"/>
              <w:left w:val="single" w:color="D5E3DA" w:sz="4"/>
              <w:bottom w:val="single" w:color="D5E3DA" w:sz="4"/>
              <w:right w:val="single" w:color="D5E3DA" w:sz="4"/>
            </w:tcBorders>
            <w:tcMar>
              <w:top w:type="dxa" w:w="80"/>
              <w:left w:type="dxa" w:w="120"/>
              <w:bottom w:type="dxa" w:w="80"/>
              <w:right w:type="dxa" w:w="120"/>
            </w:tcMar>
            <w:vAlign w:val="center"/>
          </w:tcPr>
          <w:p>
            <w:pPr>
              <w:spacing w:after="0"/>
            </w:pPr>
            <w:r>
              <w:rPr>
                <w:rFonts w:ascii="Calibri" w:cs="Calibri" w:eastAsia="Calibri" w:hAnsi="Calibri"/>
                <w:b w:val="false"/>
                <w:bCs w:val="false"/>
                <w:color w:val="1F2A24"/>
                <w:sz w:val="20"/>
                <w:szCs w:val="20"/>
              </w:rPr>
              <w:t xml:space="preserve">Nee</w:t>
            </w:r>
          </w:p>
        </w:tc>
      </w:tr>
      <w:tr>
        <w:trPr>
          <w:tblHeader w:val="false"/>
        </w:trPr>
        <w:tc>
          <w:tcPr>
            <w:tcBorders>
              <w:top w:val="single" w:color="D5E3DA" w:sz="4"/>
              <w:left w:val="single" w:color="D5E3DA" w:sz="4"/>
              <w:bottom w:val="single" w:color="D5E3DA" w:sz="4"/>
              <w:right w:val="single" w:color="D5E3DA" w:sz="4"/>
            </w:tcBorders>
            <w:shd w:fill="F4F9F6" w:val="clear"/>
            <w:tcMar>
              <w:top w:type="dxa" w:w="80"/>
              <w:left w:type="dxa" w:w="120"/>
              <w:bottom w:type="dxa" w:w="80"/>
              <w:right w:type="dxa" w:w="120"/>
            </w:tcMar>
            <w:vAlign w:val="center"/>
          </w:tcPr>
          <w:p>
            <w:pPr>
              <w:spacing w:after="0"/>
            </w:pPr>
            <w:r>
              <w:rPr>
                <w:rFonts w:ascii="Calibri" w:cs="Calibri" w:eastAsia="Calibri" w:hAnsi="Calibri"/>
                <w:b w:val="false"/>
                <w:bCs w:val="false"/>
                <w:color w:val="1F2A24"/>
                <w:sz w:val="20"/>
                <w:szCs w:val="20"/>
              </w:rPr>
              <w:t xml:space="preserve">Social-media-content (IG/LinkedIn-varianten)</w:t>
            </w:r>
          </w:p>
        </w:tc>
        <w:tc>
          <w:tcPr>
            <w:tcBorders>
              <w:top w:val="single" w:color="D5E3DA" w:sz="4"/>
              <w:left w:val="single" w:color="D5E3DA" w:sz="4"/>
              <w:bottom w:val="single" w:color="D5E3DA" w:sz="4"/>
              <w:right w:val="single" w:color="D5E3DA" w:sz="4"/>
            </w:tcBorders>
            <w:shd w:fill="F4F9F6" w:val="clear"/>
            <w:tcMar>
              <w:top w:type="dxa" w:w="80"/>
              <w:left w:type="dxa" w:w="120"/>
              <w:bottom w:type="dxa" w:w="80"/>
              <w:right w:type="dxa" w:w="120"/>
            </w:tcMar>
            <w:vAlign w:val="center"/>
          </w:tcPr>
          <w:p>
            <w:pPr>
              <w:spacing w:after="0"/>
            </w:pPr>
            <w:r>
              <w:rPr>
                <w:rFonts w:ascii="Calibri" w:cs="Calibri" w:eastAsia="Calibri" w:hAnsi="Calibri"/>
                <w:b w:val="false"/>
                <w:bCs w:val="false"/>
                <w:color w:val="1F2A24"/>
                <w:sz w:val="20"/>
                <w:szCs w:val="20"/>
              </w:rPr>
              <w:t xml:space="preserve">Ja</w:t>
            </w:r>
          </w:p>
        </w:tc>
        <w:tc>
          <w:tcPr>
            <w:tcBorders>
              <w:top w:val="single" w:color="D5E3DA" w:sz="4"/>
              <w:left w:val="single" w:color="D5E3DA" w:sz="4"/>
              <w:bottom w:val="single" w:color="D5E3DA" w:sz="4"/>
              <w:right w:val="single" w:color="D5E3DA" w:sz="4"/>
            </w:tcBorders>
            <w:shd w:fill="F4F9F6" w:val="clear"/>
            <w:tcMar>
              <w:top w:type="dxa" w:w="80"/>
              <w:left w:type="dxa" w:w="120"/>
              <w:bottom w:type="dxa" w:w="80"/>
              <w:right w:type="dxa" w:w="120"/>
            </w:tcMar>
            <w:vAlign w:val="center"/>
          </w:tcPr>
          <w:p>
            <w:pPr>
              <w:spacing w:after="0"/>
            </w:pPr>
            <w:r>
              <w:rPr>
                <w:rFonts w:ascii="Calibri" w:cs="Calibri" w:eastAsia="Calibri" w:hAnsi="Calibri"/>
                <w:b w:val="false"/>
                <w:bCs w:val="false"/>
                <w:color w:val="1F2A24"/>
                <w:sz w:val="20"/>
                <w:szCs w:val="20"/>
              </w:rPr>
              <w:t xml:space="preserve">Nee</w:t>
            </w:r>
          </w:p>
        </w:tc>
      </w:tr>
      <w:tr>
        <w:trPr>
          <w:tblHeader w:val="false"/>
        </w:trPr>
        <w:tc>
          <w:tcPr>
            <w:tcBorders>
              <w:top w:val="single" w:color="D5E3DA" w:sz="4"/>
              <w:left w:val="single" w:color="D5E3DA" w:sz="4"/>
              <w:bottom w:val="single" w:color="D5E3DA" w:sz="4"/>
              <w:right w:val="single" w:color="D5E3DA" w:sz="4"/>
            </w:tcBorders>
            <w:tcMar>
              <w:top w:type="dxa" w:w="80"/>
              <w:left w:type="dxa" w:w="120"/>
              <w:bottom w:type="dxa" w:w="80"/>
              <w:right w:type="dxa" w:w="120"/>
            </w:tcMar>
            <w:vAlign w:val="center"/>
          </w:tcPr>
          <w:p>
            <w:pPr>
              <w:spacing w:after="0"/>
            </w:pPr>
            <w:r>
              <w:rPr>
                <w:rFonts w:ascii="Calibri" w:cs="Calibri" w:eastAsia="Calibri" w:hAnsi="Calibri"/>
                <w:b w:val="false"/>
                <w:bCs w:val="false"/>
                <w:color w:val="1F2A24"/>
                <w:sz w:val="20"/>
                <w:szCs w:val="20"/>
              </w:rPr>
              <w:t xml:space="preserve">Buurtomschrijving met echte data (WOZ/CBS)</w:t>
            </w:r>
          </w:p>
        </w:tc>
        <w:tc>
          <w:tcPr>
            <w:tcBorders>
              <w:top w:val="single" w:color="D5E3DA" w:sz="4"/>
              <w:left w:val="single" w:color="D5E3DA" w:sz="4"/>
              <w:bottom w:val="single" w:color="D5E3DA" w:sz="4"/>
              <w:right w:val="single" w:color="D5E3DA" w:sz="4"/>
            </w:tcBorders>
            <w:tcMar>
              <w:top w:type="dxa" w:w="80"/>
              <w:left w:type="dxa" w:w="120"/>
              <w:bottom w:type="dxa" w:w="80"/>
              <w:right w:type="dxa" w:w="120"/>
            </w:tcMar>
            <w:vAlign w:val="center"/>
          </w:tcPr>
          <w:p>
            <w:pPr>
              <w:spacing w:after="0"/>
            </w:pPr>
            <w:r>
              <w:rPr>
                <w:rFonts w:ascii="Calibri" w:cs="Calibri" w:eastAsia="Calibri" w:hAnsi="Calibri"/>
                <w:b w:val="false"/>
                <w:bCs w:val="false"/>
                <w:color w:val="1F2A24"/>
                <w:sz w:val="20"/>
                <w:szCs w:val="20"/>
              </w:rPr>
              <w:t xml:space="preserve">Ja — uniek</w:t>
            </w:r>
          </w:p>
        </w:tc>
        <w:tc>
          <w:tcPr>
            <w:tcBorders>
              <w:top w:val="single" w:color="D5E3DA" w:sz="4"/>
              <w:left w:val="single" w:color="D5E3DA" w:sz="4"/>
              <w:bottom w:val="single" w:color="D5E3DA" w:sz="4"/>
              <w:right w:val="single" w:color="D5E3DA" w:sz="4"/>
            </w:tcBorders>
            <w:tcMar>
              <w:top w:type="dxa" w:w="80"/>
              <w:left w:type="dxa" w:w="120"/>
              <w:bottom w:type="dxa" w:w="80"/>
              <w:right w:type="dxa" w:w="120"/>
            </w:tcMar>
            <w:vAlign w:val="center"/>
          </w:tcPr>
          <w:p>
            <w:pPr>
              <w:spacing w:after="0"/>
            </w:pPr>
            <w:r>
              <w:rPr>
                <w:rFonts w:ascii="Calibri" w:cs="Calibri" w:eastAsia="Calibri" w:hAnsi="Calibri"/>
                <w:b w:val="false"/>
                <w:bCs w:val="false"/>
                <w:color w:val="1F2A24"/>
                <w:sz w:val="20"/>
                <w:szCs w:val="20"/>
              </w:rPr>
              <w:t xml:space="preserve">Nee</w:t>
            </w:r>
          </w:p>
        </w:tc>
      </w:tr>
      <w:tr>
        <w:trPr>
          <w:tblHeader w:val="false"/>
        </w:trPr>
        <w:tc>
          <w:tcPr>
            <w:tcBorders>
              <w:top w:val="single" w:color="D5E3DA" w:sz="4"/>
              <w:left w:val="single" w:color="D5E3DA" w:sz="4"/>
              <w:bottom w:val="single" w:color="D5E3DA" w:sz="4"/>
              <w:right w:val="single" w:color="D5E3DA" w:sz="4"/>
            </w:tcBorders>
            <w:shd w:fill="F4F9F6" w:val="clear"/>
            <w:tcMar>
              <w:top w:type="dxa" w:w="80"/>
              <w:left w:type="dxa" w:w="120"/>
              <w:bottom w:type="dxa" w:w="80"/>
              <w:right w:type="dxa" w:w="120"/>
            </w:tcMar>
            <w:vAlign w:val="center"/>
          </w:tcPr>
          <w:p>
            <w:pPr>
              <w:spacing w:after="0"/>
            </w:pPr>
            <w:r>
              <w:rPr>
                <w:rFonts w:ascii="Calibri" w:cs="Calibri" w:eastAsia="Calibri" w:hAnsi="Calibri"/>
                <w:b w:val="false"/>
                <w:bCs w:val="false"/>
                <w:color w:val="1F2A24"/>
                <w:sz w:val="20"/>
                <w:szCs w:val="20"/>
              </w:rPr>
              <w:t xml:space="preserve">Foto-verbetering + virtual staging</w:t>
            </w:r>
          </w:p>
        </w:tc>
        <w:tc>
          <w:tcPr>
            <w:tcBorders>
              <w:top w:val="single" w:color="D5E3DA" w:sz="4"/>
              <w:left w:val="single" w:color="D5E3DA" w:sz="4"/>
              <w:bottom w:val="single" w:color="D5E3DA" w:sz="4"/>
              <w:right w:val="single" w:color="D5E3DA" w:sz="4"/>
            </w:tcBorders>
            <w:shd w:fill="F4F9F6" w:val="clear"/>
            <w:tcMar>
              <w:top w:type="dxa" w:w="80"/>
              <w:left w:type="dxa" w:w="120"/>
              <w:bottom w:type="dxa" w:w="80"/>
              <w:right w:type="dxa" w:w="120"/>
            </w:tcMar>
            <w:vAlign w:val="center"/>
          </w:tcPr>
          <w:p>
            <w:pPr>
              <w:spacing w:after="0"/>
            </w:pPr>
            <w:r>
              <w:rPr>
                <w:rFonts w:ascii="Calibri" w:cs="Calibri" w:eastAsia="Calibri" w:hAnsi="Calibri"/>
                <w:b w:val="false"/>
                <w:bCs w:val="false"/>
                <w:color w:val="1F2A24"/>
                <w:sz w:val="20"/>
                <w:szCs w:val="20"/>
              </w:rPr>
              <w:t xml:space="preserve">Ja</w:t>
            </w:r>
          </w:p>
        </w:tc>
        <w:tc>
          <w:tcPr>
            <w:tcBorders>
              <w:top w:val="single" w:color="D5E3DA" w:sz="4"/>
              <w:left w:val="single" w:color="D5E3DA" w:sz="4"/>
              <w:bottom w:val="single" w:color="D5E3DA" w:sz="4"/>
              <w:right w:val="single" w:color="D5E3DA" w:sz="4"/>
            </w:tcBorders>
            <w:shd w:fill="F4F9F6" w:val="clear"/>
            <w:tcMar>
              <w:top w:type="dxa" w:w="80"/>
              <w:left w:type="dxa" w:w="120"/>
              <w:bottom w:type="dxa" w:w="80"/>
              <w:right w:type="dxa" w:w="120"/>
            </w:tcMar>
            <w:vAlign w:val="center"/>
          </w:tcPr>
          <w:p>
            <w:pPr>
              <w:spacing w:after="0"/>
            </w:pPr>
            <w:r>
              <w:rPr>
                <w:rFonts w:ascii="Calibri" w:cs="Calibri" w:eastAsia="Calibri" w:hAnsi="Calibri"/>
                <w:b w:val="false"/>
                <w:bCs w:val="false"/>
                <w:color w:val="1F2A24"/>
                <w:sz w:val="20"/>
                <w:szCs w:val="20"/>
              </w:rPr>
              <w:t xml:space="preserve">Nee</w:t>
            </w:r>
          </w:p>
        </w:tc>
      </w:tr>
      <w:tr>
        <w:trPr>
          <w:tblHeader w:val="false"/>
        </w:trPr>
        <w:tc>
          <w:tcPr>
            <w:tcBorders>
              <w:top w:val="single" w:color="D5E3DA" w:sz="4"/>
              <w:left w:val="single" w:color="D5E3DA" w:sz="4"/>
              <w:bottom w:val="single" w:color="D5E3DA" w:sz="4"/>
              <w:right w:val="single" w:color="D5E3DA" w:sz="4"/>
            </w:tcBorders>
            <w:tcMar>
              <w:top w:type="dxa" w:w="80"/>
              <w:left w:type="dxa" w:w="120"/>
              <w:bottom w:type="dxa" w:w="80"/>
              <w:right w:type="dxa" w:w="120"/>
            </w:tcMar>
            <w:vAlign w:val="center"/>
          </w:tcPr>
          <w:p>
            <w:pPr>
              <w:spacing w:after="0"/>
            </w:pPr>
            <w:r>
              <w:rPr>
                <w:rFonts w:ascii="Calibri" w:cs="Calibri" w:eastAsia="Calibri" w:hAnsi="Calibri"/>
                <w:b w:val="false"/>
                <w:bCs w:val="false"/>
                <w:color w:val="1F2A24"/>
                <w:sz w:val="20"/>
                <w:szCs w:val="20"/>
              </w:rPr>
              <w:t xml:space="preserve">Huisstijlgeheugen voor content</w:t>
            </w:r>
          </w:p>
        </w:tc>
        <w:tc>
          <w:tcPr>
            <w:tcBorders>
              <w:top w:val="single" w:color="D5E3DA" w:sz="4"/>
              <w:left w:val="single" w:color="D5E3DA" w:sz="4"/>
              <w:bottom w:val="single" w:color="D5E3DA" w:sz="4"/>
              <w:right w:val="single" w:color="D5E3DA" w:sz="4"/>
            </w:tcBorders>
            <w:tcMar>
              <w:top w:type="dxa" w:w="80"/>
              <w:left w:type="dxa" w:w="120"/>
              <w:bottom w:type="dxa" w:w="80"/>
              <w:right w:type="dxa" w:w="120"/>
            </w:tcMar>
            <w:vAlign w:val="center"/>
          </w:tcPr>
          <w:p>
            <w:pPr>
              <w:spacing w:after="0"/>
            </w:pPr>
            <w:r>
              <w:rPr>
                <w:rFonts w:ascii="Calibri" w:cs="Calibri" w:eastAsia="Calibri" w:hAnsi="Calibri"/>
                <w:b w:val="false"/>
                <w:bCs w:val="false"/>
                <w:color w:val="1F2A24"/>
                <w:sz w:val="20"/>
                <w:szCs w:val="20"/>
              </w:rPr>
              <w:t xml:space="preserve">Ja</w:t>
            </w:r>
          </w:p>
        </w:tc>
        <w:tc>
          <w:tcPr>
            <w:tcBorders>
              <w:top w:val="single" w:color="D5E3DA" w:sz="4"/>
              <w:left w:val="single" w:color="D5E3DA" w:sz="4"/>
              <w:bottom w:val="single" w:color="D5E3DA" w:sz="4"/>
              <w:right w:val="single" w:color="D5E3DA" w:sz="4"/>
            </w:tcBorders>
            <w:tcMar>
              <w:top w:type="dxa" w:w="80"/>
              <w:left w:type="dxa" w:w="120"/>
              <w:bottom w:type="dxa" w:w="80"/>
              <w:right w:type="dxa" w:w="120"/>
            </w:tcMar>
            <w:vAlign w:val="center"/>
          </w:tcPr>
          <w:p>
            <w:pPr>
              <w:spacing w:after="0"/>
            </w:pPr>
            <w:r>
              <w:rPr>
                <w:rFonts w:ascii="Calibri" w:cs="Calibri" w:eastAsia="Calibri" w:hAnsi="Calibri"/>
                <w:b w:val="false"/>
                <w:bCs w:val="false"/>
                <w:color w:val="1F2A24"/>
                <w:sz w:val="20"/>
                <w:szCs w:val="20"/>
              </w:rPr>
              <w:t xml:space="preserve">Deels (AI-e-mailstijl)</w:t>
            </w:r>
          </w:p>
        </w:tc>
      </w:tr>
      <w:tr>
        <w:trPr>
          <w:tblHeader w:val="false"/>
        </w:trPr>
        <w:tc>
          <w:tcPr>
            <w:tcBorders>
              <w:top w:val="single" w:color="D5E3DA" w:sz="4"/>
              <w:left w:val="single" w:color="D5E3DA" w:sz="4"/>
              <w:bottom w:val="single" w:color="D5E3DA" w:sz="4"/>
              <w:right w:val="single" w:color="D5E3DA" w:sz="4"/>
            </w:tcBorders>
            <w:shd w:fill="F4F9F6" w:val="clear"/>
            <w:tcMar>
              <w:top w:type="dxa" w:w="80"/>
              <w:left w:type="dxa" w:w="120"/>
              <w:bottom w:type="dxa" w:w="80"/>
              <w:right w:type="dxa" w:w="120"/>
            </w:tcMar>
            <w:vAlign w:val="center"/>
          </w:tcPr>
          <w:p>
            <w:pPr>
              <w:spacing w:after="0"/>
            </w:pPr>
            <w:r>
              <w:rPr>
                <w:rFonts w:ascii="Calibri" w:cs="Calibri" w:eastAsia="Calibri" w:hAnsi="Calibri"/>
                <w:b w:val="false"/>
                <w:bCs w:val="false"/>
                <w:color w:val="1F2A24"/>
                <w:sz w:val="20"/>
                <w:szCs w:val="20"/>
              </w:rPr>
              <w:t xml:space="preserve">Meertalig (NL/EN)</w:t>
            </w:r>
          </w:p>
        </w:tc>
        <w:tc>
          <w:tcPr>
            <w:tcBorders>
              <w:top w:val="single" w:color="D5E3DA" w:sz="4"/>
              <w:left w:val="single" w:color="D5E3DA" w:sz="4"/>
              <w:bottom w:val="single" w:color="D5E3DA" w:sz="4"/>
              <w:right w:val="single" w:color="D5E3DA" w:sz="4"/>
            </w:tcBorders>
            <w:shd w:fill="F4F9F6" w:val="clear"/>
            <w:tcMar>
              <w:top w:type="dxa" w:w="80"/>
              <w:left w:type="dxa" w:w="120"/>
              <w:bottom w:type="dxa" w:w="80"/>
              <w:right w:type="dxa" w:w="120"/>
            </w:tcMar>
            <w:vAlign w:val="center"/>
          </w:tcPr>
          <w:p>
            <w:pPr>
              <w:spacing w:after="0"/>
            </w:pPr>
            <w:r>
              <w:rPr>
                <w:rFonts w:ascii="Calibri" w:cs="Calibri" w:eastAsia="Calibri" w:hAnsi="Calibri"/>
                <w:b w:val="false"/>
                <w:bCs w:val="false"/>
                <w:color w:val="1F2A24"/>
                <w:sz w:val="20"/>
                <w:szCs w:val="20"/>
              </w:rPr>
              <w:t xml:space="preserve">Ja</w:t>
            </w:r>
          </w:p>
        </w:tc>
        <w:tc>
          <w:tcPr>
            <w:tcBorders>
              <w:top w:val="single" w:color="D5E3DA" w:sz="4"/>
              <w:left w:val="single" w:color="D5E3DA" w:sz="4"/>
              <w:bottom w:val="single" w:color="D5E3DA" w:sz="4"/>
              <w:right w:val="single" w:color="D5E3DA" w:sz="4"/>
            </w:tcBorders>
            <w:shd w:fill="F4F9F6" w:val="clear"/>
            <w:tcMar>
              <w:top w:type="dxa" w:w="80"/>
              <w:left w:type="dxa" w:w="120"/>
              <w:bottom w:type="dxa" w:w="80"/>
              <w:right w:type="dxa" w:w="120"/>
            </w:tcMar>
            <w:vAlign w:val="center"/>
          </w:tcPr>
          <w:p>
            <w:pPr>
              <w:spacing w:after="0"/>
            </w:pPr>
            <w:r>
              <w:rPr>
                <w:rFonts w:ascii="Calibri" w:cs="Calibri" w:eastAsia="Calibri" w:hAnsi="Calibri"/>
                <w:b w:val="false"/>
                <w:bCs w:val="false"/>
                <w:color w:val="1F2A24"/>
                <w:sz w:val="20"/>
                <w:szCs w:val="20"/>
              </w:rPr>
              <w:t xml:space="preserve">n.v.t.</w:t>
            </w:r>
          </w:p>
        </w:tc>
      </w:tr>
      <w:tr>
        <w:trPr>
          <w:tblHeader w:val="false"/>
        </w:trPr>
        <w:tc>
          <w:tcPr>
            <w:tcBorders>
              <w:top w:val="single" w:color="D5E3DA" w:sz="4"/>
              <w:left w:val="single" w:color="D5E3DA" w:sz="4"/>
              <w:bottom w:val="single" w:color="D5E3DA" w:sz="4"/>
              <w:right w:val="single" w:color="D5E3DA" w:sz="4"/>
            </w:tcBorders>
            <w:tcMar>
              <w:top w:type="dxa" w:w="80"/>
              <w:left w:type="dxa" w:w="120"/>
              <w:bottom w:type="dxa" w:w="80"/>
              <w:right w:type="dxa" w:w="120"/>
            </w:tcMar>
            <w:vAlign w:val="center"/>
          </w:tcPr>
          <w:p>
            <w:pPr>
              <w:spacing w:after="0"/>
            </w:pPr>
            <w:r>
              <w:rPr>
                <w:rFonts w:ascii="Calibri" w:cs="Calibri" w:eastAsia="Calibri" w:hAnsi="Calibri"/>
                <w:b w:val="false"/>
                <w:bCs w:val="false"/>
                <w:color w:val="1F2A24"/>
                <w:sz w:val="20"/>
                <w:szCs w:val="20"/>
              </w:rPr>
              <w:t xml:space="preserve">AI-inbox (e-mail + WhatsApp)</w:t>
            </w:r>
          </w:p>
        </w:tc>
        <w:tc>
          <w:tcPr>
            <w:tcBorders>
              <w:top w:val="single" w:color="D5E3DA" w:sz="4"/>
              <w:left w:val="single" w:color="D5E3DA" w:sz="4"/>
              <w:bottom w:val="single" w:color="D5E3DA" w:sz="4"/>
              <w:right w:val="single" w:color="D5E3DA" w:sz="4"/>
            </w:tcBorders>
            <w:tcMar>
              <w:top w:type="dxa" w:w="80"/>
              <w:left w:type="dxa" w:w="120"/>
              <w:bottom w:type="dxa" w:w="80"/>
              <w:right w:type="dxa" w:w="120"/>
            </w:tcMar>
            <w:vAlign w:val="center"/>
          </w:tcPr>
          <w:p>
            <w:pPr>
              <w:spacing w:after="0"/>
            </w:pPr>
            <w:r>
              <w:rPr>
                <w:rFonts w:ascii="Calibri" w:cs="Calibri" w:eastAsia="Calibri" w:hAnsi="Calibri"/>
                <w:b w:val="false"/>
                <w:bCs w:val="false"/>
                <w:color w:val="1F2A24"/>
                <w:sz w:val="20"/>
                <w:szCs w:val="20"/>
              </w:rPr>
              <w:t xml:space="preserve">Nee</w:t>
            </w:r>
          </w:p>
        </w:tc>
        <w:tc>
          <w:tcPr>
            <w:tcBorders>
              <w:top w:val="single" w:color="D5E3DA" w:sz="4"/>
              <w:left w:val="single" w:color="D5E3DA" w:sz="4"/>
              <w:bottom w:val="single" w:color="D5E3DA" w:sz="4"/>
              <w:right w:val="single" w:color="D5E3DA" w:sz="4"/>
            </w:tcBorders>
            <w:tcMar>
              <w:top w:type="dxa" w:w="80"/>
              <w:left w:type="dxa" w:w="120"/>
              <w:bottom w:type="dxa" w:w="80"/>
              <w:right w:type="dxa" w:w="120"/>
            </w:tcMar>
            <w:vAlign w:val="center"/>
          </w:tcPr>
          <w:p>
            <w:pPr>
              <w:spacing w:after="0"/>
            </w:pPr>
            <w:r>
              <w:rPr>
                <w:rFonts w:ascii="Calibri" w:cs="Calibri" w:eastAsia="Calibri" w:hAnsi="Calibri"/>
                <w:b w:val="false"/>
                <w:bCs w:val="false"/>
                <w:color w:val="1F2A24"/>
                <w:sz w:val="20"/>
                <w:szCs w:val="20"/>
              </w:rPr>
              <w:t xml:space="preserve">Ja — kern</w:t>
            </w:r>
          </w:p>
        </w:tc>
      </w:tr>
      <w:tr>
        <w:trPr>
          <w:tblHeader w:val="false"/>
        </w:trPr>
        <w:tc>
          <w:tcPr>
            <w:tcBorders>
              <w:top w:val="single" w:color="D5E3DA" w:sz="4"/>
              <w:left w:val="single" w:color="D5E3DA" w:sz="4"/>
              <w:bottom w:val="single" w:color="D5E3DA" w:sz="4"/>
              <w:right w:val="single" w:color="D5E3DA" w:sz="4"/>
            </w:tcBorders>
            <w:shd w:fill="F4F9F6" w:val="clear"/>
            <w:tcMar>
              <w:top w:type="dxa" w:w="80"/>
              <w:left w:type="dxa" w:w="120"/>
              <w:bottom w:type="dxa" w:w="80"/>
              <w:right w:type="dxa" w:w="120"/>
            </w:tcMar>
            <w:vAlign w:val="center"/>
          </w:tcPr>
          <w:p>
            <w:pPr>
              <w:spacing w:after="0"/>
            </w:pPr>
            <w:r>
              <w:rPr>
                <w:rFonts w:ascii="Calibri" w:cs="Calibri" w:eastAsia="Calibri" w:hAnsi="Calibri"/>
                <w:b w:val="false"/>
                <w:bCs w:val="false"/>
                <w:color w:val="1F2A24"/>
                <w:sz w:val="20"/>
                <w:szCs w:val="20"/>
              </w:rPr>
              <w:t xml:space="preserve">Bezichtigingsplanner + Funda/Pararius-aanvragen</w:t>
            </w:r>
          </w:p>
        </w:tc>
        <w:tc>
          <w:tcPr>
            <w:tcBorders>
              <w:top w:val="single" w:color="D5E3DA" w:sz="4"/>
              <w:left w:val="single" w:color="D5E3DA" w:sz="4"/>
              <w:bottom w:val="single" w:color="D5E3DA" w:sz="4"/>
              <w:right w:val="single" w:color="D5E3DA" w:sz="4"/>
            </w:tcBorders>
            <w:shd w:fill="F4F9F6" w:val="clear"/>
            <w:tcMar>
              <w:top w:type="dxa" w:w="80"/>
              <w:left w:type="dxa" w:w="120"/>
              <w:bottom w:type="dxa" w:w="80"/>
              <w:right w:type="dxa" w:w="120"/>
            </w:tcMar>
            <w:vAlign w:val="center"/>
          </w:tcPr>
          <w:p>
            <w:pPr>
              <w:spacing w:after="0"/>
            </w:pPr>
            <w:r>
              <w:rPr>
                <w:rFonts w:ascii="Calibri" w:cs="Calibri" w:eastAsia="Calibri" w:hAnsi="Calibri"/>
                <w:b w:val="false"/>
                <w:bCs w:val="false"/>
                <w:color w:val="1F2A24"/>
                <w:sz w:val="20"/>
                <w:szCs w:val="20"/>
              </w:rPr>
              <w:t xml:space="preserve">Nee</w:t>
            </w:r>
          </w:p>
        </w:tc>
        <w:tc>
          <w:tcPr>
            <w:tcBorders>
              <w:top w:val="single" w:color="D5E3DA" w:sz="4"/>
              <w:left w:val="single" w:color="D5E3DA" w:sz="4"/>
              <w:bottom w:val="single" w:color="D5E3DA" w:sz="4"/>
              <w:right w:val="single" w:color="D5E3DA" w:sz="4"/>
            </w:tcBorders>
            <w:shd w:fill="F4F9F6" w:val="clear"/>
            <w:tcMar>
              <w:top w:type="dxa" w:w="80"/>
              <w:left w:type="dxa" w:w="120"/>
              <w:bottom w:type="dxa" w:w="80"/>
              <w:right w:type="dxa" w:w="120"/>
            </w:tcMar>
            <w:vAlign w:val="center"/>
          </w:tcPr>
          <w:p>
            <w:pPr>
              <w:spacing w:after="0"/>
            </w:pPr>
            <w:r>
              <w:rPr>
                <w:rFonts w:ascii="Calibri" w:cs="Calibri" w:eastAsia="Calibri" w:hAnsi="Calibri"/>
                <w:b w:val="false"/>
                <w:bCs w:val="false"/>
                <w:color w:val="1F2A24"/>
                <w:sz w:val="20"/>
                <w:szCs w:val="20"/>
              </w:rPr>
              <w:t xml:space="preserve">Ja — kern</w:t>
            </w:r>
          </w:p>
        </w:tc>
      </w:tr>
      <w:tr>
        <w:trPr>
          <w:tblHeader w:val="false"/>
        </w:trPr>
        <w:tc>
          <w:tcPr>
            <w:tcBorders>
              <w:top w:val="single" w:color="D5E3DA" w:sz="4"/>
              <w:left w:val="single" w:color="D5E3DA" w:sz="4"/>
              <w:bottom w:val="single" w:color="D5E3DA" w:sz="4"/>
              <w:right w:val="single" w:color="D5E3DA" w:sz="4"/>
            </w:tcBorders>
            <w:tcMar>
              <w:top w:type="dxa" w:w="80"/>
              <w:left w:type="dxa" w:w="120"/>
              <w:bottom w:type="dxa" w:w="80"/>
              <w:right w:type="dxa" w:w="120"/>
            </w:tcMar>
            <w:vAlign w:val="center"/>
          </w:tcPr>
          <w:p>
            <w:pPr>
              <w:spacing w:after="0"/>
            </w:pPr>
            <w:r>
              <w:rPr>
                <w:rFonts w:ascii="Calibri" w:cs="Calibri" w:eastAsia="Calibri" w:hAnsi="Calibri"/>
                <w:b w:val="false"/>
                <w:bCs w:val="false"/>
                <w:color w:val="1F2A24"/>
                <w:sz w:val="20"/>
                <w:szCs w:val="20"/>
              </w:rPr>
              <w:t xml:space="preserve">Leadgeneratie + automatische opvolging</w:t>
            </w:r>
          </w:p>
        </w:tc>
        <w:tc>
          <w:tcPr>
            <w:tcBorders>
              <w:top w:val="single" w:color="D5E3DA" w:sz="4"/>
              <w:left w:val="single" w:color="D5E3DA" w:sz="4"/>
              <w:bottom w:val="single" w:color="D5E3DA" w:sz="4"/>
              <w:right w:val="single" w:color="D5E3DA" w:sz="4"/>
            </w:tcBorders>
            <w:tcMar>
              <w:top w:type="dxa" w:w="80"/>
              <w:left w:type="dxa" w:w="120"/>
              <w:bottom w:type="dxa" w:w="80"/>
              <w:right w:type="dxa" w:w="120"/>
            </w:tcMar>
            <w:vAlign w:val="center"/>
          </w:tcPr>
          <w:p>
            <w:pPr>
              <w:spacing w:after="0"/>
            </w:pPr>
            <w:r>
              <w:rPr>
                <w:rFonts w:ascii="Calibri" w:cs="Calibri" w:eastAsia="Calibri" w:hAnsi="Calibri"/>
                <w:b w:val="false"/>
                <w:bCs w:val="false"/>
                <w:color w:val="1F2A24"/>
                <w:sz w:val="20"/>
                <w:szCs w:val="20"/>
              </w:rPr>
              <w:t xml:space="preserve">Nee</w:t>
            </w:r>
          </w:p>
        </w:tc>
        <w:tc>
          <w:tcPr>
            <w:tcBorders>
              <w:top w:val="single" w:color="D5E3DA" w:sz="4"/>
              <w:left w:val="single" w:color="D5E3DA" w:sz="4"/>
              <w:bottom w:val="single" w:color="D5E3DA" w:sz="4"/>
              <w:right w:val="single" w:color="D5E3DA" w:sz="4"/>
            </w:tcBorders>
            <w:tcMar>
              <w:top w:type="dxa" w:w="80"/>
              <w:left w:type="dxa" w:w="120"/>
              <w:bottom w:type="dxa" w:w="80"/>
              <w:right w:type="dxa" w:w="120"/>
            </w:tcMar>
            <w:vAlign w:val="center"/>
          </w:tcPr>
          <w:p>
            <w:pPr>
              <w:spacing w:after="0"/>
            </w:pPr>
            <w:r>
              <w:rPr>
                <w:rFonts w:ascii="Calibri" w:cs="Calibri" w:eastAsia="Calibri" w:hAnsi="Calibri"/>
                <w:b w:val="false"/>
                <w:bCs w:val="false"/>
                <w:color w:val="1F2A24"/>
                <w:sz w:val="20"/>
                <w:szCs w:val="20"/>
              </w:rPr>
              <w:t xml:space="preserve">Ja</w:t>
            </w:r>
          </w:p>
        </w:tc>
      </w:tr>
      <w:tr>
        <w:trPr>
          <w:tblHeader w:val="false"/>
        </w:trPr>
        <w:tc>
          <w:tcPr>
            <w:tcBorders>
              <w:top w:val="single" w:color="D5E3DA" w:sz="4"/>
              <w:left w:val="single" w:color="D5E3DA" w:sz="4"/>
              <w:bottom w:val="single" w:color="D5E3DA" w:sz="4"/>
              <w:right w:val="single" w:color="D5E3DA" w:sz="4"/>
            </w:tcBorders>
            <w:shd w:fill="F4F9F6" w:val="clear"/>
            <w:tcMar>
              <w:top w:type="dxa" w:w="80"/>
              <w:left w:type="dxa" w:w="120"/>
              <w:bottom w:type="dxa" w:w="80"/>
              <w:right w:type="dxa" w:w="120"/>
            </w:tcMar>
            <w:vAlign w:val="center"/>
          </w:tcPr>
          <w:p>
            <w:pPr>
              <w:spacing w:after="0"/>
            </w:pPr>
            <w:r>
              <w:rPr>
                <w:rFonts w:ascii="Calibri" w:cs="Calibri" w:eastAsia="Calibri" w:hAnsi="Calibri"/>
                <w:b w:val="false"/>
                <w:bCs w:val="false"/>
                <w:color w:val="1F2A24"/>
                <w:sz w:val="20"/>
                <w:szCs w:val="20"/>
              </w:rPr>
              <w:t xml:space="preserve">Woningwaardering als leadmagneet</w:t>
            </w:r>
          </w:p>
        </w:tc>
        <w:tc>
          <w:tcPr>
            <w:tcBorders>
              <w:top w:val="single" w:color="D5E3DA" w:sz="4"/>
              <w:left w:val="single" w:color="D5E3DA" w:sz="4"/>
              <w:bottom w:val="single" w:color="D5E3DA" w:sz="4"/>
              <w:right w:val="single" w:color="D5E3DA" w:sz="4"/>
            </w:tcBorders>
            <w:shd w:fill="F4F9F6" w:val="clear"/>
            <w:tcMar>
              <w:top w:type="dxa" w:w="80"/>
              <w:left w:type="dxa" w:w="120"/>
              <w:bottom w:type="dxa" w:w="80"/>
              <w:right w:type="dxa" w:w="120"/>
            </w:tcMar>
            <w:vAlign w:val="center"/>
          </w:tcPr>
          <w:p>
            <w:pPr>
              <w:spacing w:after="0"/>
            </w:pPr>
            <w:r>
              <w:rPr>
                <w:rFonts w:ascii="Calibri" w:cs="Calibri" w:eastAsia="Calibri" w:hAnsi="Calibri"/>
                <w:b w:val="false"/>
                <w:bCs w:val="false"/>
                <w:color w:val="1F2A24"/>
                <w:sz w:val="20"/>
                <w:szCs w:val="20"/>
              </w:rPr>
              <w:t xml:space="preserve">Nee</w:t>
            </w:r>
          </w:p>
        </w:tc>
        <w:tc>
          <w:tcPr>
            <w:tcBorders>
              <w:top w:val="single" w:color="D5E3DA" w:sz="4"/>
              <w:left w:val="single" w:color="D5E3DA" w:sz="4"/>
              <w:bottom w:val="single" w:color="D5E3DA" w:sz="4"/>
              <w:right w:val="single" w:color="D5E3DA" w:sz="4"/>
            </w:tcBorders>
            <w:shd w:fill="F4F9F6" w:val="clear"/>
            <w:tcMar>
              <w:top w:type="dxa" w:w="80"/>
              <w:left w:type="dxa" w:w="120"/>
              <w:bottom w:type="dxa" w:w="80"/>
              <w:right w:type="dxa" w:w="120"/>
            </w:tcMar>
            <w:vAlign w:val="center"/>
          </w:tcPr>
          <w:p>
            <w:pPr>
              <w:spacing w:after="0"/>
            </w:pPr>
            <w:r>
              <w:rPr>
                <w:rFonts w:ascii="Calibri" w:cs="Calibri" w:eastAsia="Calibri" w:hAnsi="Calibri"/>
                <w:b w:val="false"/>
                <w:bCs w:val="false"/>
                <w:color w:val="1F2A24"/>
                <w:sz w:val="20"/>
                <w:szCs w:val="20"/>
              </w:rPr>
              <w:t xml:space="preserve">Ja</w:t>
            </w:r>
          </w:p>
        </w:tc>
      </w:tr>
      <w:tr>
        <w:trPr>
          <w:tblHeader w:val="false"/>
        </w:trPr>
        <w:tc>
          <w:tcPr>
            <w:tcBorders>
              <w:top w:val="single" w:color="D5E3DA" w:sz="4"/>
              <w:left w:val="single" w:color="D5E3DA" w:sz="4"/>
              <w:bottom w:val="single" w:color="D5E3DA" w:sz="4"/>
              <w:right w:val="single" w:color="D5E3DA" w:sz="4"/>
            </w:tcBorders>
            <w:tcMar>
              <w:top w:type="dxa" w:w="80"/>
              <w:left w:type="dxa" w:w="120"/>
              <w:bottom w:type="dxa" w:w="80"/>
              <w:right w:type="dxa" w:w="120"/>
            </w:tcMar>
            <w:vAlign w:val="center"/>
          </w:tcPr>
          <w:p>
            <w:pPr>
              <w:spacing w:after="0"/>
            </w:pPr>
            <w:r>
              <w:rPr>
                <w:rFonts w:ascii="Calibri" w:cs="Calibri" w:eastAsia="Calibri" w:hAnsi="Calibri"/>
                <w:b w:val="false"/>
                <w:bCs w:val="false"/>
                <w:color w:val="1F2A24"/>
                <w:sz w:val="20"/>
                <w:szCs w:val="20"/>
              </w:rPr>
              <w:t xml:space="preserve">Object-chatbot voor eigen site</w:t>
            </w:r>
          </w:p>
        </w:tc>
        <w:tc>
          <w:tcPr>
            <w:tcBorders>
              <w:top w:val="single" w:color="D5E3DA" w:sz="4"/>
              <w:left w:val="single" w:color="D5E3DA" w:sz="4"/>
              <w:bottom w:val="single" w:color="D5E3DA" w:sz="4"/>
              <w:right w:val="single" w:color="D5E3DA" w:sz="4"/>
            </w:tcBorders>
            <w:tcMar>
              <w:top w:type="dxa" w:w="80"/>
              <w:left w:type="dxa" w:w="120"/>
              <w:bottom w:type="dxa" w:w="80"/>
              <w:right w:type="dxa" w:w="120"/>
            </w:tcMar>
            <w:vAlign w:val="center"/>
          </w:tcPr>
          <w:p>
            <w:pPr>
              <w:spacing w:after="0"/>
            </w:pPr>
            <w:r>
              <w:rPr>
                <w:rFonts w:ascii="Calibri" w:cs="Calibri" w:eastAsia="Calibri" w:hAnsi="Calibri"/>
                <w:b w:val="false"/>
                <w:bCs w:val="false"/>
                <w:color w:val="1F2A24"/>
                <w:sz w:val="20"/>
                <w:szCs w:val="20"/>
              </w:rPr>
              <w:t xml:space="preserve">Ja</w:t>
            </w:r>
          </w:p>
        </w:tc>
        <w:tc>
          <w:tcPr>
            <w:tcBorders>
              <w:top w:val="single" w:color="D5E3DA" w:sz="4"/>
              <w:left w:val="single" w:color="D5E3DA" w:sz="4"/>
              <w:bottom w:val="single" w:color="D5E3DA" w:sz="4"/>
              <w:right w:val="single" w:color="D5E3DA" w:sz="4"/>
            </w:tcBorders>
            <w:tcMar>
              <w:top w:type="dxa" w:w="80"/>
              <w:left w:type="dxa" w:w="120"/>
              <w:bottom w:type="dxa" w:w="80"/>
              <w:right w:type="dxa" w:w="120"/>
            </w:tcMar>
            <w:vAlign w:val="center"/>
          </w:tcPr>
          <w:p>
            <w:pPr>
              <w:spacing w:after="0"/>
            </w:pPr>
            <w:r>
              <w:rPr>
                <w:rFonts w:ascii="Calibri" w:cs="Calibri" w:eastAsia="Calibri" w:hAnsi="Calibri"/>
                <w:b w:val="false"/>
                <w:bCs w:val="false"/>
                <w:color w:val="1F2A24"/>
                <w:sz w:val="20"/>
                <w:szCs w:val="20"/>
              </w:rPr>
              <w:t xml:space="preserve">Nee</w:t>
            </w:r>
          </w:p>
        </w:tc>
      </w:tr>
      <w:tr>
        <w:trPr>
          <w:tblHeader w:val="false"/>
        </w:trPr>
        <w:tc>
          <w:tcPr>
            <w:tcBorders>
              <w:top w:val="single" w:color="D5E3DA" w:sz="4"/>
              <w:left w:val="single" w:color="D5E3DA" w:sz="4"/>
              <w:bottom w:val="single" w:color="D5E3DA" w:sz="4"/>
              <w:right w:val="single" w:color="D5E3DA" w:sz="4"/>
            </w:tcBorders>
            <w:shd w:fill="F4F9F6" w:val="clear"/>
            <w:tcMar>
              <w:top w:type="dxa" w:w="80"/>
              <w:left w:type="dxa" w:w="120"/>
              <w:bottom w:type="dxa" w:w="80"/>
              <w:right w:type="dxa" w:w="120"/>
            </w:tcMar>
            <w:vAlign w:val="center"/>
          </w:tcPr>
          <w:p>
            <w:pPr>
              <w:spacing w:after="0"/>
            </w:pPr>
            <w:r>
              <w:rPr>
                <w:rFonts w:ascii="Calibri" w:cs="Calibri" w:eastAsia="Calibri" w:hAnsi="Calibri"/>
                <w:b w:val="false"/>
                <w:bCs w:val="false"/>
                <w:color w:val="1F2A24"/>
                <w:sz w:val="20"/>
                <w:szCs w:val="20"/>
              </w:rPr>
              <w:t xml:space="preserve">Content inplannen (kalender)</w:t>
            </w:r>
          </w:p>
        </w:tc>
        <w:tc>
          <w:tcPr>
            <w:tcBorders>
              <w:top w:val="single" w:color="D5E3DA" w:sz="4"/>
              <w:left w:val="single" w:color="D5E3DA" w:sz="4"/>
              <w:bottom w:val="single" w:color="D5E3DA" w:sz="4"/>
              <w:right w:val="single" w:color="D5E3DA" w:sz="4"/>
            </w:tcBorders>
            <w:shd w:fill="F4F9F6" w:val="clear"/>
            <w:tcMar>
              <w:top w:type="dxa" w:w="80"/>
              <w:left w:type="dxa" w:w="120"/>
              <w:bottom w:type="dxa" w:w="80"/>
              <w:right w:type="dxa" w:w="120"/>
            </w:tcMar>
            <w:vAlign w:val="center"/>
          </w:tcPr>
          <w:p>
            <w:pPr>
              <w:spacing w:after="0"/>
            </w:pPr>
            <w:r>
              <w:rPr>
                <w:rFonts w:ascii="Calibri" w:cs="Calibri" w:eastAsia="Calibri" w:hAnsi="Calibri"/>
                <w:b w:val="false"/>
                <w:bCs w:val="false"/>
                <w:color w:val="1F2A24"/>
                <w:sz w:val="20"/>
                <w:szCs w:val="20"/>
              </w:rPr>
              <w:t xml:space="preserve">Ja (publicatie handmatig)</w:t>
            </w:r>
          </w:p>
        </w:tc>
        <w:tc>
          <w:tcPr>
            <w:tcBorders>
              <w:top w:val="single" w:color="D5E3DA" w:sz="4"/>
              <w:left w:val="single" w:color="D5E3DA" w:sz="4"/>
              <w:bottom w:val="single" w:color="D5E3DA" w:sz="4"/>
              <w:right w:val="single" w:color="D5E3DA" w:sz="4"/>
            </w:tcBorders>
            <w:shd w:fill="F4F9F6" w:val="clear"/>
            <w:tcMar>
              <w:top w:type="dxa" w:w="80"/>
              <w:left w:type="dxa" w:w="120"/>
              <w:bottom w:type="dxa" w:w="80"/>
              <w:right w:type="dxa" w:w="120"/>
            </w:tcMar>
            <w:vAlign w:val="center"/>
          </w:tcPr>
          <w:p>
            <w:pPr>
              <w:spacing w:after="0"/>
            </w:pPr>
            <w:r>
              <w:rPr>
                <w:rFonts w:ascii="Calibri" w:cs="Calibri" w:eastAsia="Calibri" w:hAnsi="Calibri"/>
                <w:b w:val="false"/>
                <w:bCs w:val="false"/>
                <w:color w:val="1F2A24"/>
                <w:sz w:val="20"/>
                <w:szCs w:val="20"/>
              </w:rPr>
              <w:t xml:space="preserve">n.v.t.</w:t>
            </w:r>
          </w:p>
        </w:tc>
      </w:tr>
      <w:tr>
        <w:trPr>
          <w:tblHeader w:val="false"/>
        </w:trPr>
        <w:tc>
          <w:tcPr>
            <w:tcBorders>
              <w:top w:val="single" w:color="D5E3DA" w:sz="4"/>
              <w:left w:val="single" w:color="D5E3DA" w:sz="4"/>
              <w:bottom w:val="single" w:color="D5E3DA" w:sz="4"/>
              <w:right w:val="single" w:color="D5E3DA" w:sz="4"/>
            </w:tcBorders>
            <w:tcMar>
              <w:top w:type="dxa" w:w="80"/>
              <w:left w:type="dxa" w:w="120"/>
              <w:bottom w:type="dxa" w:w="80"/>
              <w:right w:type="dxa" w:w="120"/>
            </w:tcMar>
            <w:vAlign w:val="center"/>
          </w:tcPr>
          <w:p>
            <w:pPr>
              <w:spacing w:after="0"/>
            </w:pPr>
            <w:r>
              <w:rPr>
                <w:rFonts w:ascii="Calibri" w:cs="Calibri" w:eastAsia="Calibri" w:hAnsi="Calibri"/>
                <w:b w:val="false"/>
                <w:bCs w:val="false"/>
                <w:color w:val="1F2A24"/>
                <w:sz w:val="20"/>
                <w:szCs w:val="20"/>
              </w:rPr>
              <w:t xml:space="preserve">CRM-koppeling Realworks</w:t>
            </w:r>
          </w:p>
        </w:tc>
        <w:tc>
          <w:tcPr>
            <w:tcBorders>
              <w:top w:val="single" w:color="D5E3DA" w:sz="4"/>
              <w:left w:val="single" w:color="D5E3DA" w:sz="4"/>
              <w:bottom w:val="single" w:color="D5E3DA" w:sz="4"/>
              <w:right w:val="single" w:color="D5E3DA" w:sz="4"/>
            </w:tcBorders>
            <w:tcMar>
              <w:top w:type="dxa" w:w="80"/>
              <w:left w:type="dxa" w:w="120"/>
              <w:bottom w:type="dxa" w:w="80"/>
              <w:right w:type="dxa" w:w="120"/>
            </w:tcMar>
            <w:vAlign w:val="center"/>
          </w:tcPr>
          <w:p>
            <w:pPr>
              <w:spacing w:after="0"/>
            </w:pPr>
            <w:r>
              <w:rPr>
                <w:rFonts w:ascii="Calibri" w:cs="Calibri" w:eastAsia="Calibri" w:hAnsi="Calibri"/>
                <w:b w:val="false"/>
                <w:bCs w:val="false"/>
                <w:color w:val="1F2A24"/>
                <w:sz w:val="20"/>
                <w:szCs w:val="20"/>
              </w:rPr>
              <w:t xml:space="preserve">XML-export (eenrichting)</w:t>
            </w:r>
          </w:p>
        </w:tc>
        <w:tc>
          <w:tcPr>
            <w:tcBorders>
              <w:top w:val="single" w:color="D5E3DA" w:sz="4"/>
              <w:left w:val="single" w:color="D5E3DA" w:sz="4"/>
              <w:bottom w:val="single" w:color="D5E3DA" w:sz="4"/>
              <w:right w:val="single" w:color="D5E3DA" w:sz="4"/>
            </w:tcBorders>
            <w:tcMar>
              <w:top w:type="dxa" w:w="80"/>
              <w:left w:type="dxa" w:w="120"/>
              <w:bottom w:type="dxa" w:w="80"/>
              <w:right w:type="dxa" w:w="120"/>
            </w:tcMar>
            <w:vAlign w:val="center"/>
          </w:tcPr>
          <w:p>
            <w:pPr>
              <w:spacing w:after="0"/>
            </w:pPr>
            <w:r>
              <w:rPr>
                <w:rFonts w:ascii="Calibri" w:cs="Calibri" w:eastAsia="Calibri" w:hAnsi="Calibri"/>
                <w:b w:val="false"/>
                <w:bCs w:val="false"/>
                <w:color w:val="1F2A24"/>
                <w:sz w:val="20"/>
                <w:szCs w:val="20"/>
              </w:rPr>
              <w:t xml:space="preserve">Echte integratie</w:t>
            </w:r>
          </w:p>
        </w:tc>
      </w:tr>
      <w:tr>
        <w:trPr>
          <w:tblHeader w:val="false"/>
        </w:trPr>
        <w:tc>
          <w:tcPr>
            <w:tcBorders>
              <w:top w:val="single" w:color="D5E3DA" w:sz="4"/>
              <w:left w:val="single" w:color="D5E3DA" w:sz="4"/>
              <w:bottom w:val="single" w:color="D5E3DA" w:sz="4"/>
              <w:right w:val="single" w:color="D5E3DA" w:sz="4"/>
            </w:tcBorders>
            <w:shd w:fill="F4F9F6" w:val="clear"/>
            <w:tcMar>
              <w:top w:type="dxa" w:w="80"/>
              <w:left w:type="dxa" w:w="120"/>
              <w:bottom w:type="dxa" w:w="80"/>
              <w:right w:type="dxa" w:w="120"/>
            </w:tcMar>
            <w:vAlign w:val="center"/>
          </w:tcPr>
          <w:p>
            <w:pPr>
              <w:spacing w:after="0"/>
            </w:pPr>
            <w:r>
              <w:rPr>
                <w:rFonts w:ascii="Calibri" w:cs="Calibri" w:eastAsia="Calibri" w:hAnsi="Calibri"/>
                <w:b w:val="false"/>
                <w:bCs w:val="false"/>
                <w:color w:val="1F2A24"/>
                <w:sz w:val="20"/>
                <w:szCs w:val="20"/>
              </w:rPr>
              <w:t xml:space="preserve">CRM-koppeling Kolibri</w:t>
            </w:r>
          </w:p>
        </w:tc>
        <w:tc>
          <w:tcPr>
            <w:tcBorders>
              <w:top w:val="single" w:color="D5E3DA" w:sz="4"/>
              <w:left w:val="single" w:color="D5E3DA" w:sz="4"/>
              <w:bottom w:val="single" w:color="D5E3DA" w:sz="4"/>
              <w:right w:val="single" w:color="D5E3DA" w:sz="4"/>
            </w:tcBorders>
            <w:shd w:fill="F4F9F6" w:val="clear"/>
            <w:tcMar>
              <w:top w:type="dxa" w:w="80"/>
              <w:left w:type="dxa" w:w="120"/>
              <w:bottom w:type="dxa" w:w="80"/>
              <w:right w:type="dxa" w:w="120"/>
            </w:tcMar>
            <w:vAlign w:val="center"/>
          </w:tcPr>
          <w:p>
            <w:pPr>
              <w:spacing w:after="0"/>
            </w:pPr>
            <w:r>
              <w:rPr>
                <w:rFonts w:ascii="Calibri" w:cs="Calibri" w:eastAsia="Calibri" w:hAnsi="Calibri"/>
                <w:b w:val="false"/>
                <w:bCs w:val="false"/>
                <w:color w:val="1F2A24"/>
                <w:sz w:val="20"/>
                <w:szCs w:val="20"/>
              </w:rPr>
              <w:t xml:space="preserve">Nee</w:t>
            </w:r>
          </w:p>
        </w:tc>
        <w:tc>
          <w:tcPr>
            <w:tcBorders>
              <w:top w:val="single" w:color="D5E3DA" w:sz="4"/>
              <w:left w:val="single" w:color="D5E3DA" w:sz="4"/>
              <w:bottom w:val="single" w:color="D5E3DA" w:sz="4"/>
              <w:right w:val="single" w:color="D5E3DA" w:sz="4"/>
            </w:tcBorders>
            <w:shd w:fill="F4F9F6" w:val="clear"/>
            <w:tcMar>
              <w:top w:type="dxa" w:w="80"/>
              <w:left w:type="dxa" w:w="120"/>
              <w:bottom w:type="dxa" w:w="80"/>
              <w:right w:type="dxa" w:w="120"/>
            </w:tcMar>
            <w:vAlign w:val="center"/>
          </w:tcPr>
          <w:p>
            <w:pPr>
              <w:spacing w:after="0"/>
            </w:pPr>
            <w:r>
              <w:rPr>
                <w:rFonts w:ascii="Calibri" w:cs="Calibri" w:eastAsia="Calibri" w:hAnsi="Calibri"/>
                <w:b w:val="false"/>
                <w:bCs w:val="false"/>
                <w:color w:val="1F2A24"/>
                <w:sz w:val="20"/>
                <w:szCs w:val="20"/>
              </w:rPr>
              <w:t xml:space="preserve">Echte integratie</w:t>
            </w:r>
          </w:p>
        </w:tc>
      </w:tr>
      <w:tr>
        <w:trPr>
          <w:tblHeader w:val="false"/>
        </w:trPr>
        <w:tc>
          <w:tcPr>
            <w:tcBorders>
              <w:top w:val="single" w:color="D5E3DA" w:sz="4"/>
              <w:left w:val="single" w:color="D5E3DA" w:sz="4"/>
              <w:bottom w:val="single" w:color="D5E3DA" w:sz="4"/>
              <w:right w:val="single" w:color="D5E3DA" w:sz="4"/>
            </w:tcBorders>
            <w:tcMar>
              <w:top w:type="dxa" w:w="80"/>
              <w:left w:type="dxa" w:w="120"/>
              <w:bottom w:type="dxa" w:w="80"/>
              <w:right w:type="dxa" w:w="120"/>
            </w:tcMar>
            <w:vAlign w:val="center"/>
          </w:tcPr>
          <w:p>
            <w:pPr>
              <w:spacing w:after="0"/>
            </w:pPr>
            <w:r>
              <w:rPr>
                <w:rFonts w:ascii="Calibri" w:cs="Calibri" w:eastAsia="Calibri" w:hAnsi="Calibri"/>
                <w:b w:val="false"/>
                <w:bCs w:val="false"/>
                <w:color w:val="1F2A24"/>
                <w:sz w:val="20"/>
                <w:szCs w:val="20"/>
              </w:rPr>
              <w:t xml:space="preserve">Agenda-koppeling (Google/Microsoft)</w:t>
            </w:r>
          </w:p>
        </w:tc>
        <w:tc>
          <w:tcPr>
            <w:tcBorders>
              <w:top w:val="single" w:color="D5E3DA" w:sz="4"/>
              <w:left w:val="single" w:color="D5E3DA" w:sz="4"/>
              <w:bottom w:val="single" w:color="D5E3DA" w:sz="4"/>
              <w:right w:val="single" w:color="D5E3DA" w:sz="4"/>
            </w:tcBorders>
            <w:tcMar>
              <w:top w:type="dxa" w:w="80"/>
              <w:left w:type="dxa" w:w="120"/>
              <w:bottom w:type="dxa" w:w="80"/>
              <w:right w:type="dxa" w:w="120"/>
            </w:tcMar>
            <w:vAlign w:val="center"/>
          </w:tcPr>
          <w:p>
            <w:pPr>
              <w:spacing w:after="0"/>
            </w:pPr>
            <w:r>
              <w:rPr>
                <w:rFonts w:ascii="Calibri" w:cs="Calibri" w:eastAsia="Calibri" w:hAnsi="Calibri"/>
                <w:b w:val="false"/>
                <w:bCs w:val="false"/>
                <w:color w:val="1F2A24"/>
                <w:sz w:val="20"/>
                <w:szCs w:val="20"/>
              </w:rPr>
              <w:t xml:space="preserve">Nee</w:t>
            </w:r>
          </w:p>
        </w:tc>
        <w:tc>
          <w:tcPr>
            <w:tcBorders>
              <w:top w:val="single" w:color="D5E3DA" w:sz="4"/>
              <w:left w:val="single" w:color="D5E3DA" w:sz="4"/>
              <w:bottom w:val="single" w:color="D5E3DA" w:sz="4"/>
              <w:right w:val="single" w:color="D5E3DA" w:sz="4"/>
            </w:tcBorders>
            <w:tcMar>
              <w:top w:type="dxa" w:w="80"/>
              <w:left w:type="dxa" w:w="120"/>
              <w:bottom w:type="dxa" w:w="80"/>
              <w:right w:type="dxa" w:w="120"/>
            </w:tcMar>
            <w:vAlign w:val="center"/>
          </w:tcPr>
          <w:p>
            <w:pPr>
              <w:spacing w:after="0"/>
            </w:pPr>
            <w:r>
              <w:rPr>
                <w:rFonts w:ascii="Calibri" w:cs="Calibri" w:eastAsia="Calibri" w:hAnsi="Calibri"/>
                <w:b w:val="false"/>
                <w:bCs w:val="false"/>
                <w:color w:val="1F2A24"/>
                <w:sz w:val="20"/>
                <w:szCs w:val="20"/>
              </w:rPr>
              <w:t xml:space="preserve">Ja</w:t>
            </w:r>
          </w:p>
        </w:tc>
      </w:tr>
      <w:tr>
        <w:trPr>
          <w:tblHeader w:val="false"/>
        </w:trPr>
        <w:tc>
          <w:tcPr>
            <w:tcBorders>
              <w:top w:val="single" w:color="D5E3DA" w:sz="4"/>
              <w:left w:val="single" w:color="D5E3DA" w:sz="4"/>
              <w:bottom w:val="single" w:color="D5E3DA" w:sz="4"/>
              <w:right w:val="single" w:color="D5E3DA" w:sz="4"/>
            </w:tcBorders>
            <w:shd w:fill="F4F9F6" w:val="clear"/>
            <w:tcMar>
              <w:top w:type="dxa" w:w="80"/>
              <w:left w:type="dxa" w:w="120"/>
              <w:bottom w:type="dxa" w:w="80"/>
              <w:right w:type="dxa" w:w="120"/>
            </w:tcMar>
            <w:vAlign w:val="center"/>
          </w:tcPr>
          <w:p>
            <w:pPr>
              <w:spacing w:after="0"/>
            </w:pPr>
            <w:r>
              <w:rPr>
                <w:rFonts w:ascii="Calibri" w:cs="Calibri" w:eastAsia="Calibri" w:hAnsi="Calibri"/>
                <w:b w:val="false"/>
                <w:bCs w:val="false"/>
                <w:color w:val="1F2A24"/>
                <w:sz w:val="20"/>
                <w:szCs w:val="20"/>
              </w:rPr>
              <w:t xml:space="preserve">SOC 2 / compliance-verhaal</w:t>
            </w:r>
          </w:p>
        </w:tc>
        <w:tc>
          <w:tcPr>
            <w:tcBorders>
              <w:top w:val="single" w:color="D5E3DA" w:sz="4"/>
              <w:left w:val="single" w:color="D5E3DA" w:sz="4"/>
              <w:bottom w:val="single" w:color="D5E3DA" w:sz="4"/>
              <w:right w:val="single" w:color="D5E3DA" w:sz="4"/>
            </w:tcBorders>
            <w:shd w:fill="F4F9F6" w:val="clear"/>
            <w:tcMar>
              <w:top w:type="dxa" w:w="80"/>
              <w:left w:type="dxa" w:w="120"/>
              <w:bottom w:type="dxa" w:w="80"/>
              <w:right w:type="dxa" w:w="120"/>
            </w:tcMar>
            <w:vAlign w:val="center"/>
          </w:tcPr>
          <w:p>
            <w:pPr>
              <w:spacing w:after="0"/>
            </w:pPr>
            <w:r>
              <w:rPr>
                <w:rFonts w:ascii="Calibri" w:cs="Calibri" w:eastAsia="Calibri" w:hAnsi="Calibri"/>
                <w:b w:val="false"/>
                <w:bCs w:val="false"/>
                <w:color w:val="1F2A24"/>
                <w:sz w:val="20"/>
                <w:szCs w:val="20"/>
              </w:rPr>
              <w:t xml:space="preserve">Nee (niets zichtbaar)</w:t>
            </w:r>
          </w:p>
        </w:tc>
        <w:tc>
          <w:tcPr>
            <w:tcBorders>
              <w:top w:val="single" w:color="D5E3DA" w:sz="4"/>
              <w:left w:val="single" w:color="D5E3DA" w:sz="4"/>
              <w:bottom w:val="single" w:color="D5E3DA" w:sz="4"/>
              <w:right w:val="single" w:color="D5E3DA" w:sz="4"/>
            </w:tcBorders>
            <w:shd w:fill="F4F9F6" w:val="clear"/>
            <w:tcMar>
              <w:top w:type="dxa" w:w="80"/>
              <w:left w:type="dxa" w:w="120"/>
              <w:bottom w:type="dxa" w:w="80"/>
              <w:right w:type="dxa" w:w="120"/>
            </w:tcMar>
            <w:vAlign w:val="center"/>
          </w:tcPr>
          <w:p>
            <w:pPr>
              <w:spacing w:after="0"/>
            </w:pPr>
            <w:r>
              <w:rPr>
                <w:rFonts w:ascii="Calibri" w:cs="Calibri" w:eastAsia="Calibri" w:hAnsi="Calibri"/>
                <w:b w:val="false"/>
                <w:bCs w:val="false"/>
                <w:color w:val="1F2A24"/>
                <w:sz w:val="20"/>
                <w:szCs w:val="20"/>
              </w:rPr>
              <w:t xml:space="preserve">SOC 2 Type 2, AVG, DPA</w:t>
            </w:r>
          </w:p>
        </w:tc>
      </w:tr>
      <w:tr>
        <w:trPr>
          <w:tblHeader w:val="false"/>
        </w:trPr>
        <w:tc>
          <w:tcPr>
            <w:tcBorders>
              <w:top w:val="single" w:color="D5E3DA" w:sz="4"/>
              <w:left w:val="single" w:color="D5E3DA" w:sz="4"/>
              <w:bottom w:val="single" w:color="D5E3DA" w:sz="4"/>
              <w:right w:val="single" w:color="D5E3DA" w:sz="4"/>
            </w:tcBorders>
            <w:tcMar>
              <w:top w:type="dxa" w:w="80"/>
              <w:left w:type="dxa" w:w="120"/>
              <w:bottom w:type="dxa" w:w="80"/>
              <w:right w:type="dxa" w:w="120"/>
            </w:tcMar>
            <w:vAlign w:val="center"/>
          </w:tcPr>
          <w:p>
            <w:pPr>
              <w:spacing w:after="0"/>
            </w:pPr>
            <w:r>
              <w:rPr>
                <w:rFonts w:ascii="Calibri" w:cs="Calibri" w:eastAsia="Calibri" w:hAnsi="Calibri"/>
                <w:b w:val="false"/>
                <w:bCs w:val="false"/>
                <w:color w:val="1F2A24"/>
                <w:sz w:val="20"/>
                <w:szCs w:val="20"/>
              </w:rPr>
              <w:t xml:space="preserve">Proefperiode</w:t>
            </w:r>
          </w:p>
        </w:tc>
        <w:tc>
          <w:tcPr>
            <w:tcBorders>
              <w:top w:val="single" w:color="D5E3DA" w:sz="4"/>
              <w:left w:val="single" w:color="D5E3DA" w:sz="4"/>
              <w:bottom w:val="single" w:color="D5E3DA" w:sz="4"/>
              <w:right w:val="single" w:color="D5E3DA" w:sz="4"/>
            </w:tcBorders>
            <w:tcMar>
              <w:top w:type="dxa" w:w="80"/>
              <w:left w:type="dxa" w:w="120"/>
              <w:bottom w:type="dxa" w:w="80"/>
              <w:right w:type="dxa" w:w="120"/>
            </w:tcMar>
            <w:vAlign w:val="center"/>
          </w:tcPr>
          <w:p>
            <w:pPr>
              <w:spacing w:after="0"/>
            </w:pPr>
            <w:r>
              <w:rPr>
                <w:rFonts w:ascii="Calibri" w:cs="Calibri" w:eastAsia="Calibri" w:hAnsi="Calibri"/>
                <w:b w:val="false"/>
                <w:bCs w:val="false"/>
                <w:color w:val="1F2A24"/>
                <w:sz w:val="20"/>
                <w:szCs w:val="20"/>
              </w:rPr>
              <w:t xml:space="preserve">14 dagen</w:t>
            </w:r>
          </w:p>
        </w:tc>
        <w:tc>
          <w:tcPr>
            <w:tcBorders>
              <w:top w:val="single" w:color="D5E3DA" w:sz="4"/>
              <w:left w:val="single" w:color="D5E3DA" w:sz="4"/>
              <w:bottom w:val="single" w:color="D5E3DA" w:sz="4"/>
              <w:right w:val="single" w:color="D5E3DA" w:sz="4"/>
            </w:tcBorders>
            <w:tcMar>
              <w:top w:type="dxa" w:w="80"/>
              <w:left w:type="dxa" w:w="120"/>
              <w:bottom w:type="dxa" w:w="80"/>
              <w:right w:type="dxa" w:w="120"/>
            </w:tcMar>
            <w:vAlign w:val="center"/>
          </w:tcPr>
          <w:p>
            <w:pPr>
              <w:spacing w:after="0"/>
            </w:pPr>
            <w:r>
              <w:rPr>
                <w:rFonts w:ascii="Calibri" w:cs="Calibri" w:eastAsia="Calibri" w:hAnsi="Calibri"/>
                <w:b w:val="false"/>
                <w:bCs w:val="false"/>
                <w:color w:val="1F2A24"/>
                <w:sz w:val="20"/>
                <w:szCs w:val="20"/>
              </w:rPr>
              <w:t xml:space="preserve">30 dagen, vrijblijvend</w:t>
            </w:r>
          </w:p>
        </w:tc>
      </w:tr>
      <w:tr>
        <w:trPr>
          <w:tblHeader w:val="false"/>
        </w:trPr>
        <w:tc>
          <w:tcPr>
            <w:tcBorders>
              <w:top w:val="single" w:color="D5E3DA" w:sz="4"/>
              <w:left w:val="single" w:color="D5E3DA" w:sz="4"/>
              <w:bottom w:val="single" w:color="D5E3DA" w:sz="4"/>
              <w:right w:val="single" w:color="D5E3DA" w:sz="4"/>
            </w:tcBorders>
            <w:shd w:fill="F4F9F6" w:val="clear"/>
            <w:tcMar>
              <w:top w:type="dxa" w:w="80"/>
              <w:left w:type="dxa" w:w="120"/>
              <w:bottom w:type="dxa" w:w="80"/>
              <w:right w:type="dxa" w:w="120"/>
            </w:tcMar>
            <w:vAlign w:val="center"/>
          </w:tcPr>
          <w:p>
            <w:pPr>
              <w:spacing w:after="0"/>
            </w:pPr>
            <w:r>
              <w:rPr>
                <w:rFonts w:ascii="Calibri" w:cs="Calibri" w:eastAsia="Calibri" w:hAnsi="Calibri"/>
                <w:b w:val="false"/>
                <w:bCs w:val="false"/>
                <w:color w:val="1F2A24"/>
                <w:sz w:val="20"/>
                <w:szCs w:val="20"/>
              </w:rPr>
              <w:t xml:space="preserve">Prijsmodel</w:t>
            </w:r>
          </w:p>
        </w:tc>
        <w:tc>
          <w:tcPr>
            <w:tcBorders>
              <w:top w:val="single" w:color="D5E3DA" w:sz="4"/>
              <w:left w:val="single" w:color="D5E3DA" w:sz="4"/>
              <w:bottom w:val="single" w:color="D5E3DA" w:sz="4"/>
              <w:right w:val="single" w:color="D5E3DA" w:sz="4"/>
            </w:tcBorders>
            <w:shd w:fill="F4F9F6" w:val="clear"/>
            <w:tcMar>
              <w:top w:type="dxa" w:w="80"/>
              <w:left w:type="dxa" w:w="120"/>
              <w:bottom w:type="dxa" w:w="80"/>
              <w:right w:type="dxa" w:w="120"/>
            </w:tcMar>
            <w:vAlign w:val="center"/>
          </w:tcPr>
          <w:p>
            <w:pPr>
              <w:spacing w:after="0"/>
            </w:pPr>
            <w:r>
              <w:rPr>
                <w:rFonts w:ascii="Calibri" w:cs="Calibri" w:eastAsia="Calibri" w:hAnsi="Calibri"/>
                <w:b w:val="false"/>
                <w:bCs w:val="false"/>
                <w:color w:val="1F2A24"/>
                <w:sz w:val="20"/>
                <w:szCs w:val="20"/>
              </w:rPr>
              <w:t xml:space="preserve">Per kantoor (€60–500)</w:t>
            </w:r>
          </w:p>
        </w:tc>
        <w:tc>
          <w:tcPr>
            <w:tcBorders>
              <w:top w:val="single" w:color="D5E3DA" w:sz="4"/>
              <w:left w:val="single" w:color="D5E3DA" w:sz="4"/>
              <w:bottom w:val="single" w:color="D5E3DA" w:sz="4"/>
              <w:right w:val="single" w:color="D5E3DA" w:sz="4"/>
            </w:tcBorders>
            <w:shd w:fill="F4F9F6" w:val="clear"/>
            <w:tcMar>
              <w:top w:type="dxa" w:w="80"/>
              <w:left w:type="dxa" w:w="120"/>
              <w:bottom w:type="dxa" w:w="80"/>
              <w:right w:type="dxa" w:w="120"/>
            </w:tcMar>
            <w:vAlign w:val="center"/>
          </w:tcPr>
          <w:p>
            <w:pPr>
              <w:spacing w:after="0"/>
            </w:pPr>
            <w:r>
              <w:rPr>
                <w:rFonts w:ascii="Calibri" w:cs="Calibri" w:eastAsia="Calibri" w:hAnsi="Calibri"/>
                <w:b w:val="false"/>
                <w:bCs w:val="false"/>
                <w:color w:val="1F2A24"/>
                <w:sz w:val="20"/>
                <w:szCs w:val="20"/>
              </w:rPr>
              <w:t xml:space="preserve">Per makelaar (€29–167)</w:t>
            </w:r>
          </w:p>
        </w:tc>
      </w:tr>
      <w:tr>
        <w:trPr>
          <w:tblHeader w:val="false"/>
        </w:trPr>
        <w:tc>
          <w:tcPr>
            <w:tcBorders>
              <w:top w:val="single" w:color="D5E3DA" w:sz="4"/>
              <w:left w:val="single" w:color="D5E3DA" w:sz="4"/>
              <w:bottom w:val="single" w:color="D5E3DA" w:sz="4"/>
              <w:right w:val="single" w:color="D5E3DA" w:sz="4"/>
            </w:tcBorders>
            <w:tcMar>
              <w:top w:type="dxa" w:w="80"/>
              <w:left w:type="dxa" w:w="120"/>
              <w:bottom w:type="dxa" w:w="80"/>
              <w:right w:type="dxa" w:w="120"/>
            </w:tcMar>
            <w:vAlign w:val="center"/>
          </w:tcPr>
          <w:p>
            <w:pPr>
              <w:spacing w:after="0"/>
            </w:pPr>
            <w:r>
              <w:rPr>
                <w:rFonts w:ascii="Calibri" w:cs="Calibri" w:eastAsia="Calibri" w:hAnsi="Calibri"/>
                <w:b w:val="false"/>
                <w:bCs w:val="false"/>
                <w:color w:val="1F2A24"/>
                <w:sz w:val="20"/>
                <w:szCs w:val="20"/>
              </w:rPr>
              <w:t xml:space="preserve">Social proof</w:t>
            </w:r>
          </w:p>
        </w:tc>
        <w:tc>
          <w:tcPr>
            <w:tcBorders>
              <w:top w:val="single" w:color="D5E3DA" w:sz="4"/>
              <w:left w:val="single" w:color="D5E3DA" w:sz="4"/>
              <w:bottom w:val="single" w:color="D5E3DA" w:sz="4"/>
              <w:right w:val="single" w:color="D5E3DA" w:sz="4"/>
            </w:tcBorders>
            <w:tcMar>
              <w:top w:type="dxa" w:w="80"/>
              <w:left w:type="dxa" w:w="120"/>
              <w:bottom w:type="dxa" w:w="80"/>
              <w:right w:type="dxa" w:w="120"/>
            </w:tcMar>
            <w:vAlign w:val="center"/>
          </w:tcPr>
          <w:p>
            <w:pPr>
              <w:spacing w:after="0"/>
            </w:pPr>
            <w:r>
              <w:rPr>
                <w:rFonts w:ascii="Calibri" w:cs="Calibri" w:eastAsia="Calibri" w:hAnsi="Calibri"/>
                <w:b w:val="false"/>
                <w:bCs w:val="false"/>
                <w:color w:val="1F2A24"/>
                <w:sz w:val="20"/>
                <w:szCs w:val="20"/>
              </w:rPr>
              <w:t xml:space="preserve">0 testimonials</w:t>
            </w:r>
          </w:p>
        </w:tc>
        <w:tc>
          <w:tcPr>
            <w:tcBorders>
              <w:top w:val="single" w:color="D5E3DA" w:sz="4"/>
              <w:left w:val="single" w:color="D5E3DA" w:sz="4"/>
              <w:bottom w:val="single" w:color="D5E3DA" w:sz="4"/>
              <w:right w:val="single" w:color="D5E3DA" w:sz="4"/>
            </w:tcBorders>
            <w:tcMar>
              <w:top w:type="dxa" w:w="80"/>
              <w:left w:type="dxa" w:w="120"/>
              <w:bottom w:type="dxa" w:w="80"/>
              <w:right w:type="dxa" w:w="120"/>
            </w:tcMar>
            <w:vAlign w:val="center"/>
          </w:tcPr>
          <w:p>
            <w:pPr>
              <w:spacing w:after="0"/>
            </w:pPr>
            <w:r>
              <w:rPr>
                <w:rFonts w:ascii="Calibri" w:cs="Calibri" w:eastAsia="Calibri" w:hAnsi="Calibri"/>
                <w:b w:val="false"/>
                <w:bCs w:val="false"/>
                <w:color w:val="1F2A24"/>
                <w:sz w:val="20"/>
                <w:szCs w:val="20"/>
              </w:rPr>
              <w:t xml:space="preserve">9 klantverhalen met naam</w:t>
            </w:r>
          </w:p>
        </w:tc>
      </w:tr>
    </w:tbl>
    <w:p>
      <w:pPr>
        <w:spacing w:after="120"/>
      </w:pPr>
    </w:p>
    <w:p>
      <w:pPr>
        <w:spacing w:after="160" w:line="300"/>
      </w:pPr>
      <w:r>
        <w:rPr>
          <w:rFonts w:ascii="Calibri" w:cs="Calibri" w:eastAsia="Calibri" w:hAnsi="Calibri"/>
          <w:b/>
          <w:bCs/>
          <w:color w:val="1F2A24"/>
          <w:sz w:val="22"/>
          <w:szCs w:val="22"/>
        </w:rPr>
        <w:t xml:space="preserve">Lezing van de matrix:</w:t>
      </w:r>
      <w:r>
        <w:rPr>
          <w:rFonts w:ascii="Calibri" w:cs="Calibri" w:eastAsia="Calibri" w:hAnsi="Calibri"/>
          <w:color w:val="1F2A24"/>
          <w:sz w:val="22"/>
          <w:szCs w:val="22"/>
        </w:rPr>
        <w:t xml:space="preserve"> de producten zijn complementair — samen dekken ze bijna de hele makelaarsworkflow. Precies daarom is de dreiging asymmetrisch: HousApp kan onze kolom invullen met hun distributie; wij kunnen hun kolom (inbox, planner) realistisch niet bouwen zonder focus te verliezen.</w:t>
      </w:r>
    </w:p>
    <w:p>
      <w:pPr>
        <w:keepNext/>
        <w:pBdr>
          <w:bottom w:val="single" w:color="D5E3DA" w:sz="6" w:space="4"/>
        </w:pBdr>
        <w:spacing w:after="160" w:before="360"/>
      </w:pPr>
      <w:r>
        <w:rPr>
          <w:rFonts w:ascii="Calibri" w:cs="Calibri" w:eastAsia="Calibri" w:hAnsi="Calibri"/>
          <w:b/>
          <w:bCs/>
          <w:color w:val="1A6B45"/>
          <w:sz w:val="30"/>
          <w:szCs w:val="30"/>
        </w:rPr>
        <w:t xml:space="preserve">5. Prijsvergelijking en positionering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800"/>
        <w:gridCol w:w="4800"/>
      </w:tblGrid>
      <w:tr>
        <w:trPr>
          <w:tblHeader/>
        </w:trPr>
        <w:tc>
          <w:tcPr>
            <w:tcBorders>
              <w:top w:val="single" w:color="D5E3DA" w:sz="4"/>
              <w:left w:val="single" w:color="D5E3DA" w:sz="4"/>
              <w:bottom w:val="single" w:color="D5E3DA" w:sz="4"/>
              <w:right w:val="single" w:color="D5E3DA" w:sz="4"/>
            </w:tcBorders>
            <w:shd w:fill="1A6B45"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Scenario: kantoor met 4 makelaars, ±15 objecten/mnd</w:t>
            </w:r>
          </w:p>
        </w:tc>
        <w:tc>
          <w:tcPr>
            <w:tcBorders>
              <w:top w:val="single" w:color="D5E3DA" w:sz="4"/>
              <w:left w:val="single" w:color="D5E3DA" w:sz="4"/>
              <w:bottom w:val="single" w:color="D5E3DA" w:sz="4"/>
              <w:right w:val="single" w:color="D5E3DA" w:sz="4"/>
            </w:tcBorders>
            <w:shd w:fill="1A6B45"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Kosten per maand</w:t>
            </w:r>
          </w:p>
        </w:tc>
      </w:tr>
      <w:tr>
        <w:trPr>
          <w:tblHeader w:val="false"/>
        </w:trPr>
        <w:tc>
          <w:tcPr>
            <w:tcBorders>
              <w:top w:val="single" w:color="D5E3DA" w:sz="4"/>
              <w:left w:val="single" w:color="D5E3DA" w:sz="4"/>
              <w:bottom w:val="single" w:color="D5E3DA" w:sz="4"/>
              <w:right w:val="single" w:color="D5E3DA" w:sz="4"/>
            </w:tcBorders>
            <w:shd w:fill="F4F9F6" w:val="clear"/>
            <w:tcMar>
              <w:top w:type="dxa" w:w="80"/>
              <w:left w:type="dxa" w:w="120"/>
              <w:bottom w:type="dxa" w:w="80"/>
              <w:right w:type="dxa" w:w="120"/>
            </w:tcMar>
            <w:vAlign w:val="center"/>
          </w:tcPr>
          <w:p>
            <w:pPr>
              <w:spacing w:after="0"/>
            </w:pPr>
            <w:r>
              <w:rPr>
                <w:rFonts w:ascii="Calibri" w:cs="Calibri" w:eastAsia="Calibri" w:hAnsi="Calibri"/>
                <w:b w:val="false"/>
                <w:bCs w:val="false"/>
                <w:color w:val="1F2A24"/>
                <w:sz w:val="20"/>
                <w:szCs w:val="20"/>
              </w:rPr>
              <w:t xml:space="preserve">HousApp volledige suite (4 seats × €167)</w:t>
            </w:r>
          </w:p>
        </w:tc>
        <w:tc>
          <w:tcPr>
            <w:tcBorders>
              <w:top w:val="single" w:color="D5E3DA" w:sz="4"/>
              <w:left w:val="single" w:color="D5E3DA" w:sz="4"/>
              <w:bottom w:val="single" w:color="D5E3DA" w:sz="4"/>
              <w:right w:val="single" w:color="D5E3DA" w:sz="4"/>
            </w:tcBorders>
            <w:shd w:fill="F4F9F6" w:val="clear"/>
            <w:tcMar>
              <w:top w:type="dxa" w:w="80"/>
              <w:left w:type="dxa" w:w="120"/>
              <w:bottom w:type="dxa" w:w="80"/>
              <w:right w:type="dxa" w:w="120"/>
            </w:tcMar>
            <w:vAlign w:val="center"/>
          </w:tcPr>
          <w:p>
            <w:pPr>
              <w:spacing w:after="0"/>
            </w:pPr>
            <w:r>
              <w:rPr>
                <w:rFonts w:ascii="Calibri" w:cs="Calibri" w:eastAsia="Calibri" w:hAnsi="Calibri"/>
                <w:b w:val="false"/>
                <w:bCs w:val="false"/>
                <w:color w:val="1F2A24"/>
                <w:sz w:val="20"/>
                <w:szCs w:val="20"/>
              </w:rPr>
              <w:t xml:space="preserve">€668</w:t>
            </w:r>
          </w:p>
        </w:tc>
      </w:tr>
      <w:tr>
        <w:trPr>
          <w:tblHeader w:val="false"/>
        </w:trPr>
        <w:tc>
          <w:tcPr>
            <w:tcBorders>
              <w:top w:val="single" w:color="D5E3DA" w:sz="4"/>
              <w:left w:val="single" w:color="D5E3DA" w:sz="4"/>
              <w:bottom w:val="single" w:color="D5E3DA" w:sz="4"/>
              <w:right w:val="single" w:color="D5E3DA" w:sz="4"/>
            </w:tcBorders>
            <w:tcMar>
              <w:top w:type="dxa" w:w="80"/>
              <w:left w:type="dxa" w:w="120"/>
              <w:bottom w:type="dxa" w:w="80"/>
              <w:right w:type="dxa" w:w="120"/>
            </w:tcMar>
            <w:vAlign w:val="center"/>
          </w:tcPr>
          <w:p>
            <w:pPr>
              <w:spacing w:after="0"/>
            </w:pPr>
            <w:r>
              <w:rPr>
                <w:rFonts w:ascii="Calibri" w:cs="Calibri" w:eastAsia="Calibri" w:hAnsi="Calibri"/>
                <w:b w:val="false"/>
                <w:bCs w:val="false"/>
                <w:color w:val="1F2A24"/>
                <w:sz w:val="20"/>
                <w:szCs w:val="20"/>
              </w:rPr>
              <w:t xml:space="preserve">HousApp alleen Inbox+Planner (4 × €138)</w:t>
            </w:r>
          </w:p>
        </w:tc>
        <w:tc>
          <w:tcPr>
            <w:tcBorders>
              <w:top w:val="single" w:color="D5E3DA" w:sz="4"/>
              <w:left w:val="single" w:color="D5E3DA" w:sz="4"/>
              <w:bottom w:val="single" w:color="D5E3DA" w:sz="4"/>
              <w:right w:val="single" w:color="D5E3DA" w:sz="4"/>
            </w:tcBorders>
            <w:tcMar>
              <w:top w:type="dxa" w:w="80"/>
              <w:left w:type="dxa" w:w="120"/>
              <w:bottom w:type="dxa" w:w="80"/>
              <w:right w:type="dxa" w:w="120"/>
            </w:tcMar>
            <w:vAlign w:val="center"/>
          </w:tcPr>
          <w:p>
            <w:pPr>
              <w:spacing w:after="0"/>
            </w:pPr>
            <w:r>
              <w:rPr>
                <w:rFonts w:ascii="Calibri" w:cs="Calibri" w:eastAsia="Calibri" w:hAnsi="Calibri"/>
                <w:b w:val="false"/>
                <w:bCs w:val="false"/>
                <w:color w:val="1F2A24"/>
                <w:sz w:val="20"/>
                <w:szCs w:val="20"/>
              </w:rPr>
              <w:t xml:space="preserve">€552</w:t>
            </w:r>
          </w:p>
        </w:tc>
      </w:tr>
      <w:tr>
        <w:trPr>
          <w:tblHeader w:val="false"/>
        </w:trPr>
        <w:tc>
          <w:tcPr>
            <w:tcBorders>
              <w:top w:val="single" w:color="D5E3DA" w:sz="4"/>
              <w:left w:val="single" w:color="D5E3DA" w:sz="4"/>
              <w:bottom w:val="single" w:color="D5E3DA" w:sz="4"/>
              <w:right w:val="single" w:color="D5E3DA" w:sz="4"/>
            </w:tcBorders>
            <w:shd w:fill="F4F9F6" w:val="clear"/>
            <w:tcMar>
              <w:top w:type="dxa" w:w="80"/>
              <w:left w:type="dxa" w:w="120"/>
              <w:bottom w:type="dxa" w:w="80"/>
              <w:right w:type="dxa" w:w="120"/>
            </w:tcMar>
            <w:vAlign w:val="center"/>
          </w:tcPr>
          <w:p>
            <w:pPr>
              <w:spacing w:after="0"/>
            </w:pPr>
            <w:r>
              <w:rPr>
                <w:rFonts w:ascii="Calibri" w:cs="Calibri" w:eastAsia="Calibri" w:hAnsi="Calibri"/>
                <w:b w:val="false"/>
                <w:bCs w:val="false"/>
                <w:color w:val="1F2A24"/>
                <w:sz w:val="20"/>
                <w:szCs w:val="20"/>
              </w:rPr>
              <w:t xml:space="preserve">VestaAI Pro (kantoorprijs, onbeperkt objecten)</w:t>
            </w:r>
          </w:p>
        </w:tc>
        <w:tc>
          <w:tcPr>
            <w:tcBorders>
              <w:top w:val="single" w:color="D5E3DA" w:sz="4"/>
              <w:left w:val="single" w:color="D5E3DA" w:sz="4"/>
              <w:bottom w:val="single" w:color="D5E3DA" w:sz="4"/>
              <w:right w:val="single" w:color="D5E3DA" w:sz="4"/>
            </w:tcBorders>
            <w:shd w:fill="F4F9F6" w:val="clear"/>
            <w:tcMar>
              <w:top w:type="dxa" w:w="80"/>
              <w:left w:type="dxa" w:w="120"/>
              <w:bottom w:type="dxa" w:w="80"/>
              <w:right w:type="dxa" w:w="120"/>
            </w:tcMar>
            <w:vAlign w:val="center"/>
          </w:tcPr>
          <w:p>
            <w:pPr>
              <w:spacing w:after="0"/>
            </w:pPr>
            <w:r>
              <w:rPr>
                <w:rFonts w:ascii="Calibri" w:cs="Calibri" w:eastAsia="Calibri" w:hAnsi="Calibri"/>
                <w:b w:val="false"/>
                <w:bCs w:val="false"/>
                <w:color w:val="1F2A24"/>
                <w:sz w:val="20"/>
                <w:szCs w:val="20"/>
              </w:rPr>
              <w:t xml:space="preserve">€150</w:t>
            </w:r>
          </w:p>
        </w:tc>
      </w:tr>
      <w:tr>
        <w:trPr>
          <w:tblHeader w:val="false"/>
        </w:trPr>
        <w:tc>
          <w:tcPr>
            <w:tcBorders>
              <w:top w:val="single" w:color="D5E3DA" w:sz="4"/>
              <w:left w:val="single" w:color="D5E3DA" w:sz="4"/>
              <w:bottom w:val="single" w:color="D5E3DA" w:sz="4"/>
              <w:right w:val="single" w:color="D5E3DA" w:sz="4"/>
            </w:tcBorders>
            <w:tcMar>
              <w:top w:type="dxa" w:w="80"/>
              <w:left w:type="dxa" w:w="120"/>
              <w:bottom w:type="dxa" w:w="80"/>
              <w:right w:type="dxa" w:w="120"/>
            </w:tcMar>
            <w:vAlign w:val="center"/>
          </w:tcPr>
          <w:p>
            <w:pPr>
              <w:spacing w:after="0"/>
            </w:pPr>
            <w:r>
              <w:rPr>
                <w:rFonts w:ascii="Calibri" w:cs="Calibri" w:eastAsia="Calibri" w:hAnsi="Calibri"/>
                <w:b w:val="false"/>
                <w:bCs w:val="false"/>
                <w:color w:val="1F2A24"/>
                <w:sz w:val="20"/>
                <w:szCs w:val="20"/>
              </w:rPr>
              <w:t xml:space="preserve">VestaAI + HousApp samen</w:t>
            </w:r>
          </w:p>
        </w:tc>
        <w:tc>
          <w:tcPr>
            <w:tcBorders>
              <w:top w:val="single" w:color="D5E3DA" w:sz="4"/>
              <w:left w:val="single" w:color="D5E3DA" w:sz="4"/>
              <w:bottom w:val="single" w:color="D5E3DA" w:sz="4"/>
              <w:right w:val="single" w:color="D5E3DA" w:sz="4"/>
            </w:tcBorders>
            <w:tcMar>
              <w:top w:type="dxa" w:w="80"/>
              <w:left w:type="dxa" w:w="120"/>
              <w:bottom w:type="dxa" w:w="80"/>
              <w:right w:type="dxa" w:w="120"/>
            </w:tcMar>
            <w:vAlign w:val="center"/>
          </w:tcPr>
          <w:p>
            <w:pPr>
              <w:spacing w:after="0"/>
            </w:pPr>
            <w:r>
              <w:rPr>
                <w:rFonts w:ascii="Calibri" w:cs="Calibri" w:eastAsia="Calibri" w:hAnsi="Calibri"/>
                <w:b w:val="false"/>
                <w:bCs w:val="false"/>
                <w:color w:val="1F2A24"/>
                <w:sz w:val="20"/>
                <w:szCs w:val="20"/>
              </w:rPr>
              <w:t xml:space="preserve">€818</w:t>
            </w:r>
          </w:p>
        </w:tc>
      </w:tr>
      <w:tr>
        <w:trPr>
          <w:tblHeader w:val="false"/>
        </w:trPr>
        <w:tc>
          <w:tcPr>
            <w:tcBorders>
              <w:top w:val="single" w:color="D5E3DA" w:sz="4"/>
              <w:left w:val="single" w:color="D5E3DA" w:sz="4"/>
              <w:bottom w:val="single" w:color="D5E3DA" w:sz="4"/>
              <w:right w:val="single" w:color="D5E3DA" w:sz="4"/>
            </w:tcBorders>
            <w:shd w:fill="F4F9F6" w:val="clear"/>
            <w:tcMar>
              <w:top w:type="dxa" w:w="80"/>
              <w:left w:type="dxa" w:w="120"/>
              <w:bottom w:type="dxa" w:w="80"/>
              <w:right w:type="dxa" w:w="120"/>
            </w:tcMar>
            <w:vAlign w:val="center"/>
          </w:tcPr>
          <w:p>
            <w:pPr>
              <w:spacing w:after="0"/>
            </w:pPr>
            <w:r>
              <w:rPr>
                <w:rFonts w:ascii="Calibri" w:cs="Calibri" w:eastAsia="Calibri" w:hAnsi="Calibri"/>
                <w:b w:val="false"/>
                <w:bCs w:val="false"/>
                <w:color w:val="1F2A24"/>
                <w:sz w:val="20"/>
                <w:szCs w:val="20"/>
              </w:rPr>
              <w:t xml:space="preserve">Ter referentie: copywriter per woningtekst (~€50 × 15)</w:t>
            </w:r>
          </w:p>
        </w:tc>
        <w:tc>
          <w:tcPr>
            <w:tcBorders>
              <w:top w:val="single" w:color="D5E3DA" w:sz="4"/>
              <w:left w:val="single" w:color="D5E3DA" w:sz="4"/>
              <w:bottom w:val="single" w:color="D5E3DA" w:sz="4"/>
              <w:right w:val="single" w:color="D5E3DA" w:sz="4"/>
            </w:tcBorders>
            <w:shd w:fill="F4F9F6" w:val="clear"/>
            <w:tcMar>
              <w:top w:type="dxa" w:w="80"/>
              <w:left w:type="dxa" w:w="120"/>
              <w:bottom w:type="dxa" w:w="80"/>
              <w:right w:type="dxa" w:w="120"/>
            </w:tcMar>
            <w:vAlign w:val="center"/>
          </w:tcPr>
          <w:p>
            <w:pPr>
              <w:spacing w:after="0"/>
            </w:pPr>
            <w:r>
              <w:rPr>
                <w:rFonts w:ascii="Calibri" w:cs="Calibri" w:eastAsia="Calibri" w:hAnsi="Calibri"/>
                <w:b w:val="false"/>
                <w:bCs w:val="false"/>
                <w:color w:val="1F2A24"/>
                <w:sz w:val="20"/>
                <w:szCs w:val="20"/>
              </w:rPr>
              <w:t xml:space="preserve">€750</w:t>
            </w:r>
          </w:p>
        </w:tc>
      </w:tr>
    </w:tbl>
    <w:p>
      <w:pPr>
        <w:spacing w:after="120"/>
      </w:pPr>
    </w:p>
    <w:p>
      <w:pPr>
        <w:spacing w:after="160" w:line="300"/>
      </w:pPr>
      <w:r>
        <w:rPr>
          <w:rFonts w:ascii="Calibri" w:cs="Calibri" w:eastAsia="Calibri" w:hAnsi="Calibri"/>
          <w:b/>
          <w:bCs/>
          <w:color w:val="1F2A24"/>
          <w:sz w:val="22"/>
          <w:szCs w:val="22"/>
        </w:rPr>
        <w:t xml:space="preserve">Drie conclusies:</w:t>
      </w:r>
    </w:p>
    <w:p>
      <w:pPr>
        <w:pStyle w:val="ListParagraph"/>
        <w:numPr>
          <w:ilvl w:val="0"/>
          <w:numId w:val="4"/>
        </w:numPr>
        <w:spacing w:after="100" w:line="290"/>
      </w:pPr>
      <w:r>
        <w:rPr>
          <w:rFonts w:ascii="Calibri" w:cs="Calibri" w:eastAsia="Calibri" w:hAnsi="Calibri"/>
          <w:b/>
          <w:bCs/>
          <w:color w:val="1F2A24"/>
          <w:sz w:val="22"/>
          <w:szCs w:val="22"/>
        </w:rPr>
        <w:t xml:space="preserve">HousApp valideert onze prijs.</w:t>
      </w:r>
      <w:r>
        <w:rPr>
          <w:rFonts w:ascii="Calibri" w:cs="Calibri" w:eastAsia="Calibri" w:hAnsi="Calibri"/>
          <w:color w:val="1F2A24"/>
          <w:sz w:val="22"/>
          <w:szCs w:val="22"/>
        </w:rPr>
        <w:t xml:space="preserve"> Als makelaars €167 per persoon per maand betalen voor inbox + agenda, is €150 per kántoor voor de complete content-productie geen dure vraag — eerder te goedkoop gepositioneerd. Niet verlagen.</w:t>
      </w:r>
    </w:p>
    <w:p>
      <w:pPr>
        <w:pStyle w:val="ListParagraph"/>
        <w:numPr>
          <w:ilvl w:val="0"/>
          <w:numId w:val="4"/>
        </w:numPr>
        <w:spacing w:after="100" w:line="290"/>
      </w:pPr>
      <w:r>
        <w:rPr>
          <w:rFonts w:ascii="Calibri" w:cs="Calibri" w:eastAsia="Calibri" w:hAnsi="Calibri"/>
          <w:b/>
          <w:bCs/>
          <w:color w:val="1F2A24"/>
          <w:sz w:val="22"/>
          <w:szCs w:val="22"/>
        </w:rPr>
        <w:t xml:space="preserve">Per-kantoor-pricing is een concurrentiewapen.</w:t>
      </w:r>
      <w:r>
        <w:rPr>
          <w:rFonts w:ascii="Calibri" w:cs="Calibri" w:eastAsia="Calibri" w:hAnsi="Calibri"/>
          <w:color w:val="1F2A24"/>
          <w:sz w:val="22"/>
          <w:szCs w:val="22"/>
        </w:rPr>
        <w:t xml:space="preserve"> Tegenover elke per-seat-concurrent (HousApp, maar ook toekomstige spelers) is "één prijs voor het hele kantoor, onbeperkt gebruikers op Pro" een verkoopargument dat expliciet in onze copy en pitches hoort.</w:t>
      </w:r>
    </w:p>
    <w:p>
      <w:pPr>
        <w:pStyle w:val="ListParagraph"/>
        <w:numPr>
          <w:ilvl w:val="0"/>
          <w:numId w:val="4"/>
        </w:numPr>
        <w:spacing w:after="100" w:line="290"/>
      </w:pPr>
      <w:r>
        <w:rPr>
          <w:rFonts w:ascii="Calibri" w:cs="Calibri" w:eastAsia="Calibri" w:hAnsi="Calibri"/>
          <w:b/>
          <w:bCs/>
          <w:color w:val="1F2A24"/>
          <w:sz w:val="22"/>
          <w:szCs w:val="22"/>
        </w:rPr>
        <w:t xml:space="preserve">De copywriter-vergelijking is onze sterkste ROI-claim.</w:t>
      </w:r>
      <w:r>
        <w:rPr>
          <w:rFonts w:ascii="Calibri" w:cs="Calibri" w:eastAsia="Calibri" w:hAnsi="Calibri"/>
          <w:color w:val="1F2A24"/>
          <w:sz w:val="22"/>
          <w:szCs w:val="22"/>
        </w:rPr>
        <w:t xml:space="preserve"> 15 objecten handmatig laten schrijven kost meer dan een jaar VestaAI Pro per maand aan copywriterkosten — en dan heeft de makelaar nog geen social posts, brochure of buurtanalyse.</w:t>
      </w:r>
    </w:p>
    <w:p>
      <w:pPr>
        <w:keepNext/>
        <w:pBdr>
          <w:bottom w:val="single" w:color="D5E3DA" w:sz="6" w:space="4"/>
        </w:pBdr>
        <w:spacing w:after="160" w:before="360"/>
      </w:pPr>
      <w:r>
        <w:rPr>
          <w:rFonts w:ascii="Calibri" w:cs="Calibri" w:eastAsia="Calibri" w:hAnsi="Calibri"/>
          <w:b/>
          <w:bCs/>
          <w:color w:val="1A6B45"/>
          <w:sz w:val="30"/>
          <w:szCs w:val="30"/>
        </w:rPr>
        <w:t xml:space="preserve">6. Wat we missen of moeten verbeteren</w:t>
      </w:r>
    </w:p>
    <w:p>
      <w:pPr>
        <w:spacing w:after="160" w:line="300"/>
      </w:pPr>
      <w:r>
        <w:rPr>
          <w:rFonts w:ascii="Calibri" w:cs="Calibri" w:eastAsia="Calibri" w:hAnsi="Calibri"/>
          <w:color w:val="1F2A24"/>
          <w:sz w:val="22"/>
          <w:szCs w:val="22"/>
        </w:rPr>
        <w:t xml:space="preserve">Gerangschikt op impact:</w:t>
      </w:r>
    </w:p>
    <w:p>
      <w:pPr>
        <w:keepNext/>
        <w:spacing w:after="100" w:before="240"/>
      </w:pPr>
      <w:r>
        <w:rPr>
          <w:rFonts w:ascii="Calibri" w:cs="Calibri" w:eastAsia="Calibri" w:hAnsi="Calibri"/>
          <w:b/>
          <w:bCs/>
          <w:color w:val="124A30"/>
          <w:sz w:val="24"/>
          <w:szCs w:val="24"/>
        </w:rPr>
        <w:t xml:space="preserve">Hoog — direct oppakken</w:t>
      </w:r>
    </w:p>
    <w:p>
      <w:pPr>
        <w:pStyle w:val="ListParagraph"/>
        <w:numPr>
          <w:ilvl w:val="0"/>
          <w:numId w:val="5"/>
        </w:numPr>
        <w:spacing w:after="100" w:line="290"/>
      </w:pPr>
      <w:r>
        <w:rPr>
          <w:rFonts w:ascii="Calibri" w:cs="Calibri" w:eastAsia="Calibri" w:hAnsi="Calibri"/>
          <w:b/>
          <w:bCs/>
          <w:color w:val="1F2A24"/>
          <w:sz w:val="22"/>
          <w:szCs w:val="22"/>
        </w:rPr>
        <w:t xml:space="preserve">Betrouwbaarheid kernproduct.</w:t>
      </w:r>
      <w:r>
        <w:rPr>
          <w:rFonts w:ascii="Calibri" w:cs="Calibri" w:eastAsia="Calibri" w:hAnsi="Calibri"/>
          <w:color w:val="1F2A24"/>
          <w:sz w:val="22"/>
          <w:szCs w:val="22"/>
        </w:rPr>
        <w:t xml:space="preserve"> De 504-time-out op /api/generate met kapotte foutmelding is erger dan elke feature-gap. Een makelaar die dit één keer meemaakt in een proefperiode is weg. (Staat al op de roadmap als HOOG — terecht.)</w:t>
      </w:r>
    </w:p>
    <w:p>
      <w:pPr>
        <w:pStyle w:val="ListParagraph"/>
        <w:numPr>
          <w:ilvl w:val="0"/>
          <w:numId w:val="5"/>
        </w:numPr>
        <w:spacing w:after="100" w:line="290"/>
      </w:pPr>
      <w:r>
        <w:rPr>
          <w:rFonts w:ascii="Calibri" w:cs="Calibri" w:eastAsia="Calibri" w:hAnsi="Calibri"/>
          <w:b/>
          <w:bCs/>
          <w:color w:val="1F2A24"/>
          <w:sz w:val="22"/>
          <w:szCs w:val="22"/>
        </w:rPr>
        <w:t xml:space="preserve">Social proof.</w:t>
      </w:r>
      <w:r>
        <w:rPr>
          <w:rFonts w:ascii="Calibri" w:cs="Calibri" w:eastAsia="Calibri" w:hAnsi="Calibri"/>
          <w:color w:val="1F2A24"/>
          <w:sz w:val="22"/>
          <w:szCs w:val="22"/>
        </w:rPr>
        <w:t xml:space="preserve"> Negen namen bij HousApp tegen nul bij ons. Actie: pilotmakelaar → quote met naam, kantoor en concrete tijdsbesparing op de landingspagina + één uitgeschreven casestudy als PDF/pagina.</w:t>
      </w:r>
    </w:p>
    <w:p>
      <w:pPr>
        <w:pStyle w:val="ListParagraph"/>
        <w:numPr>
          <w:ilvl w:val="0"/>
          <w:numId w:val="5"/>
        </w:numPr>
        <w:spacing w:after="100" w:line="290"/>
      </w:pPr>
      <w:r>
        <w:rPr>
          <w:rFonts w:ascii="Calibri" w:cs="Calibri" w:eastAsia="Calibri" w:hAnsi="Calibri"/>
          <w:b/>
          <w:bCs/>
          <w:color w:val="1F2A24"/>
          <w:sz w:val="22"/>
          <w:szCs w:val="22"/>
        </w:rPr>
        <w:t xml:space="preserve">Echte Realworks- en Kolibri-koppeling.</w:t>
      </w:r>
      <w:r>
        <w:rPr>
          <w:rFonts w:ascii="Calibri" w:cs="Calibri" w:eastAsia="Calibri" w:hAnsi="Calibri"/>
          <w:color w:val="1F2A24"/>
          <w:sz w:val="22"/>
          <w:szCs w:val="22"/>
        </w:rPr>
        <w:t xml:space="preserve"> De XML-download is een tussenstap. Een API-koppeling ("genereer in VestaAI, staat direct in je CRM/op Funda") verandert VestaAI van losse tool in werkproces-onderdeel — dezelfde lock-in die HousApp bouwt. Kolibri is dubbel interessant: veel HousApp-klanten zitten op Realworks/Kolibri, dus dit is ook een distributieroute naar precies onze doelgroep.</w:t>
      </w:r>
    </w:p>
    <w:p>
      <w:pPr>
        <w:keepNext/>
        <w:spacing w:after="100" w:before="240"/>
      </w:pPr>
      <w:r>
        <w:rPr>
          <w:rFonts w:ascii="Calibri" w:cs="Calibri" w:eastAsia="Calibri" w:hAnsi="Calibri"/>
          <w:b/>
          <w:bCs/>
          <w:color w:val="124A30"/>
          <w:sz w:val="24"/>
          <w:szCs w:val="24"/>
        </w:rPr>
        <w:t xml:space="preserve">Middel — komende maanden</w:t>
      </w:r>
    </w:p>
    <w:p>
      <w:pPr>
        <w:pStyle w:val="ListParagraph"/>
        <w:numPr>
          <w:ilvl w:val="0"/>
          <w:numId w:val="6"/>
        </w:numPr>
        <w:spacing w:after="100" w:line="290"/>
      </w:pPr>
      <w:r>
        <w:rPr>
          <w:rFonts w:ascii="Calibri" w:cs="Calibri" w:eastAsia="Calibri" w:hAnsi="Calibri"/>
          <w:b/>
          <w:bCs/>
          <w:color w:val="1F2A24"/>
          <w:sz w:val="22"/>
          <w:szCs w:val="22"/>
        </w:rPr>
        <w:t xml:space="preserve">Proefperiode 30 dagen.</w:t>
      </w:r>
      <w:r>
        <w:rPr>
          <w:rFonts w:ascii="Calibri" w:cs="Calibri" w:eastAsia="Calibri" w:hAnsi="Calibri"/>
          <w:color w:val="1F2A24"/>
          <w:sz w:val="22"/>
          <w:szCs w:val="22"/>
        </w:rPr>
        <w:t xml:space="preserve"> HousApp zet de marktnorm op 30 dagen vrijblijvend. Overweeg te volgen, of kies een alternatief met hetzelfde effect (bijv. eerste 3 objecten gratis, geen creditcard vooraf).</w:t>
      </w:r>
    </w:p>
    <w:p>
      <w:pPr>
        <w:pStyle w:val="ListParagraph"/>
        <w:numPr>
          <w:ilvl w:val="0"/>
          <w:numId w:val="6"/>
        </w:numPr>
        <w:spacing w:after="100" w:line="290"/>
      </w:pPr>
      <w:r>
        <w:rPr>
          <w:rFonts w:ascii="Calibri" w:cs="Calibri" w:eastAsia="Calibri" w:hAnsi="Calibri"/>
          <w:b/>
          <w:bCs/>
          <w:color w:val="1F2A24"/>
          <w:sz w:val="22"/>
          <w:szCs w:val="22"/>
        </w:rPr>
        <w:t xml:space="preserve">Vertrouwens-/compliancepagina.</w:t>
      </w:r>
      <w:r>
        <w:rPr>
          <w:rFonts w:ascii="Calibri" w:cs="Calibri" w:eastAsia="Calibri" w:hAnsi="Calibri"/>
          <w:color w:val="1F2A24"/>
          <w:sz w:val="22"/>
          <w:szCs w:val="22"/>
        </w:rPr>
        <w:t xml:space="preserve"> AVG-verklaring, verwerkersovereenkomst als download, uitleg waar data staat (EU), wat er met woningdata gebeurt. SOC 2 is voor onze fase te zwaar, maar het verhaal moet kloppen en vindbaar zijn — kantoren (zeker franchise) vragen ernaar.</w:t>
      </w:r>
    </w:p>
    <w:p>
      <w:pPr>
        <w:pStyle w:val="ListParagraph"/>
        <w:numPr>
          <w:ilvl w:val="0"/>
          <w:numId w:val="6"/>
        </w:numPr>
        <w:spacing w:after="100" w:line="290"/>
      </w:pPr>
      <w:r>
        <w:rPr>
          <w:rFonts w:ascii="Calibri" w:cs="Calibri" w:eastAsia="Calibri" w:hAnsi="Calibri"/>
          <w:b/>
          <w:bCs/>
          <w:color w:val="1F2A24"/>
          <w:sz w:val="22"/>
          <w:szCs w:val="22"/>
        </w:rPr>
        <w:t xml:space="preserve">Automatisch publiceren afmaken.</w:t>
      </w:r>
      <w:r>
        <w:rPr>
          <w:rFonts w:ascii="Calibri" w:cs="Calibri" w:eastAsia="Calibri" w:hAnsi="Calibri"/>
          <w:color w:val="1F2A24"/>
          <w:sz w:val="22"/>
          <w:szCs w:val="22"/>
        </w:rPr>
        <w:t xml:space="preserve"> De content-kalender is half af zolang publiceren handmatig is. Meta Business API + LinkedIn OAuth (staat op roadmap) maakt van "content maken" ook "content verspreiden" — en verhoogt de dagelijkse gebruiksfrequentie, wat churn verlaagt.</w:t>
      </w:r>
    </w:p>
    <w:p>
      <w:pPr>
        <w:pStyle w:val="ListParagraph"/>
        <w:numPr>
          <w:ilvl w:val="0"/>
          <w:numId w:val="6"/>
        </w:numPr>
        <w:spacing w:after="100" w:line="290"/>
      </w:pPr>
      <w:r>
        <w:rPr>
          <w:rFonts w:ascii="Calibri" w:cs="Calibri" w:eastAsia="Calibri" w:hAnsi="Calibri"/>
          <w:b/>
          <w:bCs/>
          <w:color w:val="1F2A24"/>
          <w:sz w:val="22"/>
          <w:szCs w:val="22"/>
        </w:rPr>
        <w:t xml:space="preserve">Klantverhalen-pagina</w:t>
      </w:r>
      <w:r>
        <w:rPr>
          <w:rFonts w:ascii="Calibri" w:cs="Calibri" w:eastAsia="Calibri" w:hAnsi="Calibri"/>
          <w:color w:val="1F2A24"/>
          <w:sz w:val="22"/>
          <w:szCs w:val="22"/>
        </w:rPr>
        <w:t xml:space="preserve"> naar HousApp-model: niet alleen quotes maar korte verhalen per kantoor met cijfers.</w:t>
      </w:r>
    </w:p>
    <w:p>
      <w:pPr>
        <w:keepNext/>
        <w:spacing w:after="100" w:before="240"/>
      </w:pPr>
      <w:r>
        <w:rPr>
          <w:rFonts w:ascii="Calibri" w:cs="Calibri" w:eastAsia="Calibri" w:hAnsi="Calibri"/>
          <w:b/>
          <w:bCs/>
          <w:color w:val="124A30"/>
          <w:sz w:val="24"/>
          <w:szCs w:val="24"/>
        </w:rPr>
        <w:t xml:space="preserve">Laag — bewust niet doen</w:t>
      </w:r>
    </w:p>
    <w:p>
      <w:pPr>
        <w:pStyle w:val="ListParagraph"/>
        <w:numPr>
          <w:ilvl w:val="0"/>
          <w:numId w:val="7"/>
        </w:numPr>
        <w:spacing w:after="100" w:line="290"/>
      </w:pPr>
      <w:r>
        <w:rPr>
          <w:rFonts w:ascii="Calibri" w:cs="Calibri" w:eastAsia="Calibri" w:hAnsi="Calibri"/>
          <w:b/>
          <w:bCs/>
          <w:color w:val="1F2A24"/>
          <w:sz w:val="22"/>
          <w:szCs w:val="22"/>
        </w:rPr>
        <w:t xml:space="preserve">Géén inbox, géén bezichtigingsplanner bouwen.</w:t>
      </w:r>
      <w:r>
        <w:rPr>
          <w:rFonts w:ascii="Calibri" w:cs="Calibri" w:eastAsia="Calibri" w:hAnsi="Calibri"/>
          <w:color w:val="1F2A24"/>
          <w:sz w:val="22"/>
          <w:szCs w:val="22"/>
        </w:rPr>
        <w:t xml:space="preserve"> De verleiding om HousApp te spiegelen is er, maar dat is hun kernproduct met een jaar voorsprong en funding. Focus op content-diepte (kwaliteit, data, huisstijl) is de betere allocatie. Complementair zijn is een feature, geen zwakte.</w:t>
      </w:r>
    </w:p>
    <w:p>
      <w:pPr>
        <w:keepNext/>
        <w:pBdr>
          <w:bottom w:val="single" w:color="D5E3DA" w:sz="6" w:space="4"/>
        </w:pBdr>
        <w:spacing w:after="160" w:before="360"/>
      </w:pPr>
      <w:r>
        <w:rPr>
          <w:rFonts w:ascii="Calibri" w:cs="Calibri" w:eastAsia="Calibri" w:hAnsi="Calibri"/>
          <w:b/>
          <w:bCs/>
          <w:color w:val="1A6B45"/>
          <w:sz w:val="30"/>
          <w:szCs w:val="30"/>
        </w:rPr>
        <w:t xml:space="preserve">7. Bedreigingsanalyse: als HousApp content gaat doen</w:t>
      </w:r>
    </w:p>
    <w:p>
      <w:pPr>
        <w:spacing w:after="160" w:line="300"/>
      </w:pPr>
      <w:r>
        <w:rPr>
          <w:rFonts w:ascii="Calibri" w:cs="Calibri" w:eastAsia="Calibri" w:hAnsi="Calibri"/>
          <w:b/>
          <w:bCs/>
          <w:color w:val="1F2A24"/>
          <w:sz w:val="22"/>
          <w:szCs w:val="22"/>
        </w:rPr>
        <w:t xml:space="preserve">Scenario.</w:t>
      </w:r>
      <w:r>
        <w:rPr>
          <w:rFonts w:ascii="Calibri" w:cs="Calibri" w:eastAsia="Calibri" w:hAnsi="Calibri"/>
          <w:color w:val="1F2A24"/>
          <w:sz w:val="22"/>
          <w:szCs w:val="22"/>
        </w:rPr>
        <w:t xml:space="preserve"> HousApp lanceert "HousApp Listing" (woningtekst + social + brochure) voor €29–49 per makelaar per maand, gepusht naar 2.200+ bestaande klanten.</w:t>
      </w:r>
    </w:p>
    <w:p>
      <w:pPr>
        <w:spacing w:after="160" w:line="300"/>
      </w:pPr>
      <w:r>
        <w:rPr>
          <w:rFonts w:ascii="Calibri" w:cs="Calibri" w:eastAsia="Calibri" w:hAnsi="Calibri"/>
          <w:b/>
          <w:bCs/>
          <w:color w:val="1F2A24"/>
          <w:sz w:val="22"/>
          <w:szCs w:val="22"/>
        </w:rPr>
        <w:t xml:space="preserve">Waarschijnlijkheid:</w:t>
      </w:r>
      <w:r>
        <w:rPr>
          <w:rFonts w:ascii="Calibri" w:cs="Calibri" w:eastAsia="Calibri" w:hAnsi="Calibri"/>
          <w:color w:val="1F2A24"/>
          <w:sz w:val="22"/>
          <w:szCs w:val="22"/>
        </w:rPr>
        <w:t xml:space="preserve"> reëel binnen 12–24 maanden; technisch kunnen ze het sneller. Signalen om te monitoren (maandelijks, kost 10 minuten): vacatures (content/LLM-engineers), changelog/release notes, klantverhalen die over teksten beginnen, en de Kolibri-samenwerking (Kolibri schrijft zelf al over AI-woningteksten in hun CRM).</w:t>
      </w:r>
    </w:p>
    <w:p>
      <w:pPr>
        <w:spacing w:after="160" w:line="300"/>
      </w:pPr>
      <w:r>
        <w:rPr>
          <w:rFonts w:ascii="Calibri" w:cs="Calibri" w:eastAsia="Calibri" w:hAnsi="Calibri"/>
          <w:b/>
          <w:bCs/>
          <w:color w:val="1F2A24"/>
          <w:sz w:val="22"/>
          <w:szCs w:val="22"/>
        </w:rPr>
        <w:t xml:space="preserve">Onze verdediging, in volgorde van kracht:</w:t>
      </w:r>
    </w:p>
    <w:p>
      <w:pPr>
        <w:pStyle w:val="ListParagraph"/>
        <w:numPr>
          <w:ilvl w:val="0"/>
          <w:numId w:val="8"/>
        </w:numPr>
        <w:spacing w:after="100" w:line="290"/>
      </w:pPr>
      <w:r>
        <w:rPr>
          <w:rFonts w:ascii="Calibri" w:cs="Calibri" w:eastAsia="Calibri" w:hAnsi="Calibri"/>
          <w:b/>
          <w:bCs/>
          <w:color w:val="1F2A24"/>
          <w:sz w:val="22"/>
          <w:szCs w:val="22"/>
        </w:rPr>
        <w:t xml:space="preserve">Huisstijl-lock-in.</w:t>
      </w:r>
      <w:r>
        <w:rPr>
          <w:rFonts w:ascii="Calibri" w:cs="Calibri" w:eastAsia="Calibri" w:hAnsi="Calibri"/>
          <w:color w:val="1F2A24"/>
          <w:sz w:val="22"/>
          <w:szCs w:val="22"/>
        </w:rPr>
        <w:t xml:space="preserve"> Een kantoor dat maanden stijlprofiel, voorbeeldteksten en voorkeuren heeft opgebouwd, stapt niet over naar een generieke module. Dit is onze diepste gracht — mits we snel genoeg klanten aan boord hebben. Elke maand telt.</w:t>
      </w:r>
    </w:p>
    <w:p>
      <w:pPr>
        <w:pStyle w:val="ListParagraph"/>
        <w:numPr>
          <w:ilvl w:val="0"/>
          <w:numId w:val="8"/>
        </w:numPr>
        <w:spacing w:after="100" w:line="290"/>
      </w:pPr>
      <w:r>
        <w:rPr>
          <w:rFonts w:ascii="Calibri" w:cs="Calibri" w:eastAsia="Calibri" w:hAnsi="Calibri"/>
          <w:b/>
          <w:bCs/>
          <w:color w:val="1F2A24"/>
          <w:sz w:val="22"/>
          <w:szCs w:val="22"/>
        </w:rPr>
        <w:t xml:space="preserve">Diepte verslaat module.</w:t>
      </w:r>
      <w:r>
        <w:rPr>
          <w:rFonts w:ascii="Calibri" w:cs="Calibri" w:eastAsia="Calibri" w:hAnsi="Calibri"/>
          <w:color w:val="1F2A24"/>
          <w:sz w:val="22"/>
          <w:szCs w:val="22"/>
        </w:rPr>
        <w:t xml:space="preserve"> Voor HousApp is content feature nummer vier; voor ons het bestaansrecht. Funda-regelset, data-verrijkte buurtomschrijvingen, foto-tools, 12 content-types, tweetaligheid — dat niveau bouw je niet als bijzaak. De kwaliteitslat moet zó hoog dat een makelaar het verschil in één oogopslag ziet.</w:t>
      </w:r>
    </w:p>
    <w:p>
      <w:pPr>
        <w:pStyle w:val="ListParagraph"/>
        <w:numPr>
          <w:ilvl w:val="0"/>
          <w:numId w:val="8"/>
        </w:numPr>
        <w:spacing w:after="100" w:line="290"/>
      </w:pPr>
      <w:r>
        <w:rPr>
          <w:rFonts w:ascii="Calibri" w:cs="Calibri" w:eastAsia="Calibri" w:hAnsi="Calibri"/>
          <w:b/>
          <w:bCs/>
          <w:color w:val="1F2A24"/>
          <w:sz w:val="22"/>
          <w:szCs w:val="22"/>
        </w:rPr>
        <w:t xml:space="preserve">Data-verrijking als unieke claim.</w:t>
      </w:r>
      <w:r>
        <w:rPr>
          <w:rFonts w:ascii="Calibri" w:cs="Calibri" w:eastAsia="Calibri" w:hAnsi="Calibri"/>
          <w:color w:val="1F2A24"/>
          <w:sz w:val="22"/>
          <w:szCs w:val="22"/>
        </w:rPr>
        <w:t xml:space="preserve"> WOZ, CBS-buurtcijfers en voorzieningen automatisch in de tekst — geen enkele NL-concurrent doet dit vandaag. Uitbouwen (de data-integratie-docs liggen klaar) en er luid over communiceren.</w:t>
      </w:r>
    </w:p>
    <w:p>
      <w:pPr>
        <w:pStyle w:val="ListParagraph"/>
        <w:numPr>
          <w:ilvl w:val="0"/>
          <w:numId w:val="8"/>
        </w:numPr>
        <w:spacing w:after="100" w:line="290"/>
      </w:pPr>
      <w:r>
        <w:rPr>
          <w:rFonts w:ascii="Calibri" w:cs="Calibri" w:eastAsia="Calibri" w:hAnsi="Calibri"/>
          <w:b/>
          <w:bCs/>
          <w:color w:val="1F2A24"/>
          <w:sz w:val="22"/>
          <w:szCs w:val="22"/>
        </w:rPr>
        <w:t xml:space="preserve">Prijsmodel.</w:t>
      </w:r>
      <w:r>
        <w:rPr>
          <w:rFonts w:ascii="Calibri" w:cs="Calibri" w:eastAsia="Calibri" w:hAnsi="Calibri"/>
          <w:color w:val="1F2A24"/>
          <w:sz w:val="22"/>
          <w:szCs w:val="22"/>
        </w:rPr>
        <w:t xml:space="preserve"> Per kantoor blijven prijzen; een HousApp-module zal per seat gaan, dat maakt ons voor grotere kantoren structureel goedkoper.</w:t>
      </w:r>
    </w:p>
    <w:p>
      <w:pPr>
        <w:pStyle w:val="ListParagraph"/>
        <w:numPr>
          <w:ilvl w:val="0"/>
          <w:numId w:val="8"/>
        </w:numPr>
        <w:spacing w:after="100" w:line="290"/>
      </w:pPr>
      <w:r>
        <w:rPr>
          <w:rFonts w:ascii="Calibri" w:cs="Calibri" w:eastAsia="Calibri" w:hAnsi="Calibri"/>
          <w:b/>
          <w:bCs/>
          <w:color w:val="1F2A24"/>
          <w:sz w:val="22"/>
          <w:szCs w:val="22"/>
        </w:rPr>
        <w:t xml:space="preserve">Optioneel spoor — partnerschap.</w:t>
      </w:r>
      <w:r>
        <w:rPr>
          <w:rFonts w:ascii="Calibri" w:cs="Calibri" w:eastAsia="Calibri" w:hAnsi="Calibri"/>
          <w:color w:val="1F2A24"/>
          <w:sz w:val="22"/>
          <w:szCs w:val="22"/>
        </w:rPr>
        <w:t xml:space="preserve"> Er is ook een niet-vijandig scenario: HousApp integreert liever dan bouwt (zie Friva: ze kopen wat sneller is). Een VestaAI-koppeling binnen HousApp zou ons distributieprobleem in één keer oplossen. Risicovol (afhankelijkheid, inkijk in ons product), maar het verkennen waard zodra we een sterke klantenbasis en bewezen kwaliteit hebben — vanuit kracht, niet vanuit angst.</w:t>
      </w:r>
    </w:p>
    <w:p>
      <w:pPr>
        <w:keepNext/>
        <w:pBdr>
          <w:bottom w:val="single" w:color="D5E3DA" w:sz="6" w:space="4"/>
        </w:pBdr>
        <w:spacing w:after="160" w:before="360"/>
      </w:pPr>
      <w:r>
        <w:rPr>
          <w:rFonts w:ascii="Calibri" w:cs="Calibri" w:eastAsia="Calibri" w:hAnsi="Calibri"/>
          <w:b/>
          <w:bCs/>
          <w:color w:val="1A6B45"/>
          <w:sz w:val="30"/>
          <w:szCs w:val="30"/>
        </w:rPr>
        <w:t xml:space="preserve">8. Het bredere concurrentielandschap (kort)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400"/>
      </w:tblGrid>
      <w:tr>
        <w:trPr>
          <w:tblHeader/>
        </w:trPr>
        <w:tc>
          <w:tcPr>
            <w:tcBorders>
              <w:top w:val="single" w:color="D5E3DA" w:sz="4"/>
              <w:left w:val="single" w:color="D5E3DA" w:sz="4"/>
              <w:bottom w:val="single" w:color="D5E3DA" w:sz="4"/>
              <w:right w:val="single" w:color="D5E3DA" w:sz="4"/>
            </w:tcBorders>
            <w:shd w:fill="1A6B45"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Speler</w:t>
            </w:r>
          </w:p>
        </w:tc>
        <w:tc>
          <w:tcPr>
            <w:tcBorders>
              <w:top w:val="single" w:color="D5E3DA" w:sz="4"/>
              <w:left w:val="single" w:color="D5E3DA" w:sz="4"/>
              <w:bottom w:val="single" w:color="D5E3DA" w:sz="4"/>
              <w:right w:val="single" w:color="D5E3DA" w:sz="4"/>
            </w:tcBorders>
            <w:shd w:fill="1A6B45"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Wat</w:t>
            </w:r>
          </w:p>
        </w:tc>
        <w:tc>
          <w:tcPr>
            <w:tcBorders>
              <w:top w:val="single" w:color="D5E3DA" w:sz="4"/>
              <w:left w:val="single" w:color="D5E3DA" w:sz="4"/>
              <w:bottom w:val="single" w:color="D5E3DA" w:sz="4"/>
              <w:right w:val="single" w:color="D5E3DA" w:sz="4"/>
            </w:tcBorders>
            <w:shd w:fill="1A6B45"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Prijs</w:t>
            </w:r>
          </w:p>
        </w:tc>
        <w:tc>
          <w:tcPr>
            <w:tcBorders>
              <w:top w:val="single" w:color="D5E3DA" w:sz="4"/>
              <w:left w:val="single" w:color="D5E3DA" w:sz="4"/>
              <w:bottom w:val="single" w:color="D5E3DA" w:sz="4"/>
              <w:right w:val="single" w:color="D5E3DA" w:sz="4"/>
            </w:tcBorders>
            <w:shd w:fill="1A6B45"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Beoordeling</w:t>
            </w:r>
          </w:p>
        </w:tc>
      </w:tr>
      <w:tr>
        <w:trPr>
          <w:tblHeader w:val="false"/>
        </w:trPr>
        <w:tc>
          <w:tcPr>
            <w:tcBorders>
              <w:top w:val="single" w:color="D5E3DA" w:sz="4"/>
              <w:left w:val="single" w:color="D5E3DA" w:sz="4"/>
              <w:bottom w:val="single" w:color="D5E3DA" w:sz="4"/>
              <w:right w:val="single" w:color="D5E3DA" w:sz="4"/>
            </w:tcBorders>
            <w:shd w:fill="F4F9F6" w:val="clear"/>
            <w:tcMar>
              <w:top w:type="dxa" w:w="80"/>
              <w:left w:type="dxa" w:w="120"/>
              <w:bottom w:type="dxa" w:w="80"/>
              <w:right w:type="dxa" w:w="120"/>
            </w:tcMar>
            <w:vAlign w:val="center"/>
          </w:tcPr>
          <w:p>
            <w:pPr>
              <w:spacing w:after="0"/>
            </w:pPr>
            <w:r>
              <w:rPr>
                <w:rFonts w:ascii="Calibri" w:cs="Calibri" w:eastAsia="Calibri" w:hAnsi="Calibri"/>
                <w:b w:val="false"/>
                <w:bCs w:val="false"/>
                <w:color w:val="1F2A24"/>
                <w:sz w:val="20"/>
                <w:szCs w:val="20"/>
              </w:rPr>
              <w:t xml:space="preserve">Huistekst.nl (Woninganalyse)</w:t>
            </w:r>
          </w:p>
        </w:tc>
        <w:tc>
          <w:tcPr>
            <w:tcBorders>
              <w:top w:val="single" w:color="D5E3DA" w:sz="4"/>
              <w:left w:val="single" w:color="D5E3DA" w:sz="4"/>
              <w:bottom w:val="single" w:color="D5E3DA" w:sz="4"/>
              <w:right w:val="single" w:color="D5E3DA" w:sz="4"/>
            </w:tcBorders>
            <w:shd w:fill="F4F9F6" w:val="clear"/>
            <w:tcMar>
              <w:top w:type="dxa" w:w="80"/>
              <w:left w:type="dxa" w:w="120"/>
              <w:bottom w:type="dxa" w:w="80"/>
              <w:right w:type="dxa" w:w="120"/>
            </w:tcMar>
            <w:vAlign w:val="center"/>
          </w:tcPr>
          <w:p>
            <w:pPr>
              <w:spacing w:after="0"/>
            </w:pPr>
            <w:r>
              <w:rPr>
                <w:rFonts w:ascii="Calibri" w:cs="Calibri" w:eastAsia="Calibri" w:hAnsi="Calibri"/>
                <w:b w:val="false"/>
                <w:bCs w:val="false"/>
                <w:color w:val="1F2A24"/>
                <w:sz w:val="20"/>
                <w:szCs w:val="20"/>
              </w:rPr>
              <w:t xml:space="preserve">Woningteksten, meertalig, kant-en-klaar</w:t>
            </w:r>
          </w:p>
        </w:tc>
        <w:tc>
          <w:tcPr>
            <w:tcBorders>
              <w:top w:val="single" w:color="D5E3DA" w:sz="4"/>
              <w:left w:val="single" w:color="D5E3DA" w:sz="4"/>
              <w:bottom w:val="single" w:color="D5E3DA" w:sz="4"/>
              <w:right w:val="single" w:color="D5E3DA" w:sz="4"/>
            </w:tcBorders>
            <w:shd w:fill="F4F9F6" w:val="clear"/>
            <w:tcMar>
              <w:top w:type="dxa" w:w="80"/>
              <w:left w:type="dxa" w:w="120"/>
              <w:bottom w:type="dxa" w:w="80"/>
              <w:right w:type="dxa" w:w="120"/>
            </w:tcMar>
            <w:vAlign w:val="center"/>
          </w:tcPr>
          <w:p>
            <w:pPr>
              <w:spacing w:after="0"/>
            </w:pPr>
            <w:r>
              <w:rPr>
                <w:rFonts w:ascii="Calibri" w:cs="Calibri" w:eastAsia="Calibri" w:hAnsi="Calibri"/>
                <w:b w:val="false"/>
                <w:bCs w:val="false"/>
                <w:color w:val="1F2A24"/>
                <w:sz w:val="20"/>
                <w:szCs w:val="20"/>
              </w:rPr>
              <w:t xml:space="preserve">Abonnement (prijs niet publiek)</w:t>
            </w:r>
          </w:p>
        </w:tc>
        <w:tc>
          <w:tcPr>
            <w:tcBorders>
              <w:top w:val="single" w:color="D5E3DA" w:sz="4"/>
              <w:left w:val="single" w:color="D5E3DA" w:sz="4"/>
              <w:bottom w:val="single" w:color="D5E3DA" w:sz="4"/>
              <w:right w:val="single" w:color="D5E3DA" w:sz="4"/>
            </w:tcBorders>
            <w:shd w:fill="F4F9F6" w:val="clear"/>
            <w:tcMar>
              <w:top w:type="dxa" w:w="80"/>
              <w:left w:type="dxa" w:w="120"/>
              <w:bottom w:type="dxa" w:w="80"/>
              <w:right w:type="dxa" w:w="120"/>
            </w:tcMar>
            <w:vAlign w:val="center"/>
          </w:tcPr>
          <w:p>
            <w:pPr>
              <w:spacing w:after="0"/>
            </w:pPr>
            <w:r>
              <w:rPr>
                <w:rFonts w:ascii="Calibri" w:cs="Calibri" w:eastAsia="Calibri" w:hAnsi="Calibri"/>
                <w:b w:val="false"/>
                <w:bCs w:val="false"/>
                <w:color w:val="1F2A24"/>
                <w:sz w:val="20"/>
                <w:szCs w:val="20"/>
              </w:rPr>
              <w:t xml:space="preserve">Dichtstbijzijnde directe concurrent op teksten; geen suite (geen brochure/social/foto), geen huisstijlgeheugen</w:t>
            </w:r>
          </w:p>
        </w:tc>
      </w:tr>
      <w:tr>
        <w:trPr>
          <w:tblHeader w:val="false"/>
        </w:trPr>
        <w:tc>
          <w:tcPr>
            <w:tcBorders>
              <w:top w:val="single" w:color="D5E3DA" w:sz="4"/>
              <w:left w:val="single" w:color="D5E3DA" w:sz="4"/>
              <w:bottom w:val="single" w:color="D5E3DA" w:sz="4"/>
              <w:right w:val="single" w:color="D5E3DA" w:sz="4"/>
            </w:tcBorders>
            <w:tcMar>
              <w:top w:type="dxa" w:w="80"/>
              <w:left w:type="dxa" w:w="120"/>
              <w:bottom w:type="dxa" w:w="80"/>
              <w:right w:type="dxa" w:w="120"/>
            </w:tcMar>
            <w:vAlign w:val="center"/>
          </w:tcPr>
          <w:p>
            <w:pPr>
              <w:spacing w:after="0"/>
            </w:pPr>
            <w:r>
              <w:rPr>
                <w:rFonts w:ascii="Calibri" w:cs="Calibri" w:eastAsia="Calibri" w:hAnsi="Calibri"/>
                <w:b w:val="false"/>
                <w:bCs w:val="false"/>
                <w:color w:val="1F2A24"/>
                <w:sz w:val="20"/>
                <w:szCs w:val="20"/>
              </w:rPr>
              <w:t xml:space="preserve">Makelaartoolkit.nl</w:t>
            </w:r>
          </w:p>
        </w:tc>
        <w:tc>
          <w:tcPr>
            <w:tcBorders>
              <w:top w:val="single" w:color="D5E3DA" w:sz="4"/>
              <w:left w:val="single" w:color="D5E3DA" w:sz="4"/>
              <w:bottom w:val="single" w:color="D5E3DA" w:sz="4"/>
              <w:right w:val="single" w:color="D5E3DA" w:sz="4"/>
            </w:tcBorders>
            <w:tcMar>
              <w:top w:type="dxa" w:w="80"/>
              <w:left w:type="dxa" w:w="120"/>
              <w:bottom w:type="dxa" w:w="80"/>
              <w:right w:type="dxa" w:w="120"/>
            </w:tcMar>
            <w:vAlign w:val="center"/>
          </w:tcPr>
          <w:p>
            <w:pPr>
              <w:spacing w:after="0"/>
            </w:pPr>
            <w:r>
              <w:rPr>
                <w:rFonts w:ascii="Calibri" w:cs="Calibri" w:eastAsia="Calibri" w:hAnsi="Calibri"/>
                <w:b w:val="false"/>
                <w:bCs w:val="false"/>
                <w:color w:val="1F2A24"/>
                <w:sz w:val="20"/>
                <w:szCs w:val="20"/>
              </w:rPr>
              <w:t xml:space="preserve">AI-vastgoedteksten + social captions op hogere plannen</w:t>
            </w:r>
          </w:p>
        </w:tc>
        <w:tc>
          <w:tcPr>
            <w:tcBorders>
              <w:top w:val="single" w:color="D5E3DA" w:sz="4"/>
              <w:left w:val="single" w:color="D5E3DA" w:sz="4"/>
              <w:bottom w:val="single" w:color="D5E3DA" w:sz="4"/>
              <w:right w:val="single" w:color="D5E3DA" w:sz="4"/>
            </w:tcBorders>
            <w:tcMar>
              <w:top w:type="dxa" w:w="80"/>
              <w:left w:type="dxa" w:w="120"/>
              <w:bottom w:type="dxa" w:w="80"/>
              <w:right w:type="dxa" w:w="120"/>
            </w:tcMar>
            <w:vAlign w:val="center"/>
          </w:tcPr>
          <w:p>
            <w:pPr>
              <w:spacing w:after="0"/>
            </w:pPr>
            <w:r>
              <w:rPr>
                <w:rFonts w:ascii="Calibri" w:cs="Calibri" w:eastAsia="Calibri" w:hAnsi="Calibri"/>
                <w:b w:val="false"/>
                <w:bCs w:val="false"/>
                <w:color w:val="1F2A24"/>
                <w:sz w:val="20"/>
                <w:szCs w:val="20"/>
              </w:rPr>
              <w:t xml:space="preserve">€19–75/mnd, per-tekst-limieten (4–30/mnd)</w:t>
            </w:r>
          </w:p>
        </w:tc>
        <w:tc>
          <w:tcPr>
            <w:tcBorders>
              <w:top w:val="single" w:color="D5E3DA" w:sz="4"/>
              <w:left w:val="single" w:color="D5E3DA" w:sz="4"/>
              <w:bottom w:val="single" w:color="D5E3DA" w:sz="4"/>
              <w:right w:val="single" w:color="D5E3DA" w:sz="4"/>
            </w:tcBorders>
            <w:tcMar>
              <w:top w:type="dxa" w:w="80"/>
              <w:left w:type="dxa" w:w="120"/>
              <w:bottom w:type="dxa" w:w="80"/>
              <w:right w:type="dxa" w:w="120"/>
            </w:tcMar>
            <w:vAlign w:val="center"/>
          </w:tcPr>
          <w:p>
            <w:pPr>
              <w:spacing w:after="0"/>
            </w:pPr>
            <w:r>
              <w:rPr>
                <w:rFonts w:ascii="Calibri" w:cs="Calibri" w:eastAsia="Calibri" w:hAnsi="Calibri"/>
                <w:b w:val="false"/>
                <w:bCs w:val="false"/>
                <w:color w:val="1F2A24"/>
                <w:sz w:val="20"/>
                <w:szCs w:val="20"/>
              </w:rPr>
              <w:t xml:space="preserve">Prijsvechter; wint op instapprijs, verliest op breedte en limieten. Ons antwoord: suite + onbeperkt op Pro</w:t>
            </w:r>
          </w:p>
        </w:tc>
      </w:tr>
      <w:tr>
        <w:trPr>
          <w:tblHeader w:val="false"/>
        </w:trPr>
        <w:tc>
          <w:tcPr>
            <w:tcBorders>
              <w:top w:val="single" w:color="D5E3DA" w:sz="4"/>
              <w:left w:val="single" w:color="D5E3DA" w:sz="4"/>
              <w:bottom w:val="single" w:color="D5E3DA" w:sz="4"/>
              <w:right w:val="single" w:color="D5E3DA" w:sz="4"/>
            </w:tcBorders>
            <w:shd w:fill="F4F9F6" w:val="clear"/>
            <w:tcMar>
              <w:top w:type="dxa" w:w="80"/>
              <w:left w:type="dxa" w:w="120"/>
              <w:bottom w:type="dxa" w:w="80"/>
              <w:right w:type="dxa" w:w="120"/>
            </w:tcMar>
            <w:vAlign w:val="center"/>
          </w:tcPr>
          <w:p>
            <w:pPr>
              <w:spacing w:after="0"/>
            </w:pPr>
            <w:r>
              <w:rPr>
                <w:rFonts w:ascii="Calibri" w:cs="Calibri" w:eastAsia="Calibri" w:hAnsi="Calibri"/>
                <w:b w:val="false"/>
                <w:bCs w:val="false"/>
                <w:color w:val="1F2A24"/>
                <w:sz w:val="20"/>
                <w:szCs w:val="20"/>
              </w:rPr>
              <w:t xml:space="preserve">Woninganalyse-suite (Waardescan, Object Assistent, Sfeerimpressie)</w:t>
            </w:r>
          </w:p>
        </w:tc>
        <w:tc>
          <w:tcPr>
            <w:tcBorders>
              <w:top w:val="single" w:color="D5E3DA" w:sz="4"/>
              <w:left w:val="single" w:color="D5E3DA" w:sz="4"/>
              <w:bottom w:val="single" w:color="D5E3DA" w:sz="4"/>
              <w:right w:val="single" w:color="D5E3DA" w:sz="4"/>
            </w:tcBorders>
            <w:shd w:fill="F4F9F6" w:val="clear"/>
            <w:tcMar>
              <w:top w:type="dxa" w:w="80"/>
              <w:left w:type="dxa" w:w="120"/>
              <w:bottom w:type="dxa" w:w="80"/>
              <w:right w:type="dxa" w:w="120"/>
            </w:tcMar>
            <w:vAlign w:val="center"/>
          </w:tcPr>
          <w:p>
            <w:pPr>
              <w:spacing w:after="0"/>
            </w:pPr>
            <w:r>
              <w:rPr>
                <w:rFonts w:ascii="Calibri" w:cs="Calibri" w:eastAsia="Calibri" w:hAnsi="Calibri"/>
                <w:b w:val="false"/>
                <w:bCs w:val="false"/>
                <w:color w:val="1F2A24"/>
                <w:sz w:val="20"/>
                <w:szCs w:val="20"/>
              </w:rPr>
              <w:t xml:space="preserve">Waardewidget-leadgen, object-chatbot</w:t>
            </w:r>
          </w:p>
        </w:tc>
        <w:tc>
          <w:tcPr>
            <w:tcBorders>
              <w:top w:val="single" w:color="D5E3DA" w:sz="4"/>
              <w:left w:val="single" w:color="D5E3DA" w:sz="4"/>
              <w:bottom w:val="single" w:color="D5E3DA" w:sz="4"/>
              <w:right w:val="single" w:color="D5E3DA" w:sz="4"/>
            </w:tcBorders>
            <w:shd w:fill="F4F9F6" w:val="clear"/>
            <w:tcMar>
              <w:top w:type="dxa" w:w="80"/>
              <w:left w:type="dxa" w:w="120"/>
              <w:bottom w:type="dxa" w:w="80"/>
              <w:right w:type="dxa" w:w="120"/>
            </w:tcMar>
            <w:vAlign w:val="center"/>
          </w:tcPr>
          <w:p>
            <w:pPr>
              <w:spacing w:after="0"/>
            </w:pPr>
            <w:r>
              <w:rPr>
                <w:rFonts w:ascii="Calibri" w:cs="Calibri" w:eastAsia="Calibri" w:hAnsi="Calibri"/>
                <w:b w:val="false"/>
                <w:bCs w:val="false"/>
                <w:color w:val="1F2A24"/>
                <w:sz w:val="20"/>
                <w:szCs w:val="20"/>
              </w:rPr>
              <w:t xml:space="preserve">Niet publiek</w:t>
            </w:r>
          </w:p>
        </w:tc>
        <w:tc>
          <w:tcPr>
            <w:tcBorders>
              <w:top w:val="single" w:color="D5E3DA" w:sz="4"/>
              <w:left w:val="single" w:color="D5E3DA" w:sz="4"/>
              <w:bottom w:val="single" w:color="D5E3DA" w:sz="4"/>
              <w:right w:val="single" w:color="D5E3DA" w:sz="4"/>
            </w:tcBorders>
            <w:shd w:fill="F4F9F6" w:val="clear"/>
            <w:tcMar>
              <w:top w:type="dxa" w:w="80"/>
              <w:left w:type="dxa" w:w="120"/>
              <w:bottom w:type="dxa" w:w="80"/>
              <w:right w:type="dxa" w:w="120"/>
            </w:tcMar>
            <w:vAlign w:val="center"/>
          </w:tcPr>
          <w:p>
            <w:pPr>
              <w:spacing w:after="0"/>
            </w:pPr>
            <w:r>
              <w:rPr>
                <w:rFonts w:ascii="Calibri" w:cs="Calibri" w:eastAsia="Calibri" w:hAnsi="Calibri"/>
                <w:b w:val="false"/>
                <w:bCs w:val="false"/>
                <w:color w:val="1F2A24"/>
                <w:sz w:val="20"/>
                <w:szCs w:val="20"/>
              </w:rPr>
              <w:t xml:space="preserve">Overlapt met onze chatbot-widget en met HousApp Grow; bewijst dat 'chatbot op makelaarssite' een erkende categorie is</w:t>
            </w:r>
          </w:p>
        </w:tc>
      </w:tr>
      <w:tr>
        <w:trPr>
          <w:tblHeader w:val="false"/>
        </w:trPr>
        <w:tc>
          <w:tcPr>
            <w:tcBorders>
              <w:top w:val="single" w:color="D5E3DA" w:sz="4"/>
              <w:left w:val="single" w:color="D5E3DA" w:sz="4"/>
              <w:bottom w:val="single" w:color="D5E3DA" w:sz="4"/>
              <w:right w:val="single" w:color="D5E3DA" w:sz="4"/>
            </w:tcBorders>
            <w:tcMar>
              <w:top w:type="dxa" w:w="80"/>
              <w:left w:type="dxa" w:w="120"/>
              <w:bottom w:type="dxa" w:w="80"/>
              <w:right w:type="dxa" w:w="120"/>
            </w:tcMar>
            <w:vAlign w:val="center"/>
          </w:tcPr>
          <w:p>
            <w:pPr>
              <w:spacing w:after="0"/>
            </w:pPr>
            <w:r>
              <w:rPr>
                <w:rFonts w:ascii="Calibri" w:cs="Calibri" w:eastAsia="Calibri" w:hAnsi="Calibri"/>
                <w:b w:val="false"/>
                <w:bCs w:val="false"/>
                <w:color w:val="1F2A24"/>
                <w:sz w:val="20"/>
                <w:szCs w:val="20"/>
              </w:rPr>
              <w:t xml:space="preserve">Kolibri (CRM)</w:t>
            </w:r>
          </w:p>
        </w:tc>
        <w:tc>
          <w:tcPr>
            <w:tcBorders>
              <w:top w:val="single" w:color="D5E3DA" w:sz="4"/>
              <w:left w:val="single" w:color="D5E3DA" w:sz="4"/>
              <w:bottom w:val="single" w:color="D5E3DA" w:sz="4"/>
              <w:right w:val="single" w:color="D5E3DA" w:sz="4"/>
            </w:tcBorders>
            <w:tcMar>
              <w:top w:type="dxa" w:w="80"/>
              <w:left w:type="dxa" w:w="120"/>
              <w:bottom w:type="dxa" w:w="80"/>
              <w:right w:type="dxa" w:w="120"/>
            </w:tcMar>
            <w:vAlign w:val="center"/>
          </w:tcPr>
          <w:p>
            <w:pPr>
              <w:spacing w:after="0"/>
            </w:pPr>
            <w:r>
              <w:rPr>
                <w:rFonts w:ascii="Calibri" w:cs="Calibri" w:eastAsia="Calibri" w:hAnsi="Calibri"/>
                <w:b w:val="false"/>
                <w:bCs w:val="false"/>
                <w:color w:val="1F2A24"/>
                <w:sz w:val="20"/>
                <w:szCs w:val="20"/>
              </w:rPr>
              <w:t xml:space="preserve">CRM met AI-tekstassistentie (blogt actief over AI-woningteksten)</w:t>
            </w:r>
          </w:p>
        </w:tc>
        <w:tc>
          <w:tcPr>
            <w:tcBorders>
              <w:top w:val="single" w:color="D5E3DA" w:sz="4"/>
              <w:left w:val="single" w:color="D5E3DA" w:sz="4"/>
              <w:bottom w:val="single" w:color="D5E3DA" w:sz="4"/>
              <w:right w:val="single" w:color="D5E3DA" w:sz="4"/>
            </w:tcBorders>
            <w:tcMar>
              <w:top w:type="dxa" w:w="80"/>
              <w:left w:type="dxa" w:w="120"/>
              <w:bottom w:type="dxa" w:w="80"/>
              <w:right w:type="dxa" w:w="120"/>
            </w:tcMar>
            <w:vAlign w:val="center"/>
          </w:tcPr>
          <w:p>
            <w:pPr>
              <w:spacing w:after="0"/>
            </w:pPr>
            <w:r>
              <w:rPr>
                <w:rFonts w:ascii="Calibri" w:cs="Calibri" w:eastAsia="Calibri" w:hAnsi="Calibri"/>
                <w:b w:val="false"/>
                <w:bCs w:val="false"/>
                <w:color w:val="1F2A24"/>
                <w:sz w:val="20"/>
                <w:szCs w:val="20"/>
              </w:rPr>
              <w:t xml:space="preserve">CRM-pricing</w:t>
            </w:r>
          </w:p>
        </w:tc>
        <w:tc>
          <w:tcPr>
            <w:tcBorders>
              <w:top w:val="single" w:color="D5E3DA" w:sz="4"/>
              <w:left w:val="single" w:color="D5E3DA" w:sz="4"/>
              <w:bottom w:val="single" w:color="D5E3DA" w:sz="4"/>
              <w:right w:val="single" w:color="D5E3DA" w:sz="4"/>
            </w:tcBorders>
            <w:tcMar>
              <w:top w:type="dxa" w:w="80"/>
              <w:left w:type="dxa" w:w="120"/>
              <w:bottom w:type="dxa" w:w="80"/>
              <w:right w:type="dxa" w:w="120"/>
            </w:tcMar>
            <w:vAlign w:val="center"/>
          </w:tcPr>
          <w:p>
            <w:pPr>
              <w:spacing w:after="0"/>
            </w:pPr>
            <w:r>
              <w:rPr>
                <w:rFonts w:ascii="Calibri" w:cs="Calibri" w:eastAsia="Calibri" w:hAnsi="Calibri"/>
                <w:b w:val="false"/>
                <w:bCs w:val="false"/>
                <w:color w:val="1F2A24"/>
                <w:sz w:val="20"/>
                <w:szCs w:val="20"/>
              </w:rPr>
              <w:t xml:space="preserve">De klassieke 'CRM voegt AI toe'-dreiging uit goals.md; kwaliteit naar verwachting generiek, maar distributie via bestaande CRM-klanten</w:t>
            </w:r>
          </w:p>
        </w:tc>
      </w:tr>
      <w:tr>
        <w:trPr>
          <w:tblHeader w:val="false"/>
        </w:trPr>
        <w:tc>
          <w:tcPr>
            <w:tcBorders>
              <w:top w:val="single" w:color="D5E3DA" w:sz="4"/>
              <w:left w:val="single" w:color="D5E3DA" w:sz="4"/>
              <w:bottom w:val="single" w:color="D5E3DA" w:sz="4"/>
              <w:right w:val="single" w:color="D5E3DA" w:sz="4"/>
            </w:tcBorders>
            <w:shd w:fill="F4F9F6" w:val="clear"/>
            <w:tcMar>
              <w:top w:type="dxa" w:w="80"/>
              <w:left w:type="dxa" w:w="120"/>
              <w:bottom w:type="dxa" w:w="80"/>
              <w:right w:type="dxa" w:w="120"/>
            </w:tcMar>
            <w:vAlign w:val="center"/>
          </w:tcPr>
          <w:p>
            <w:pPr>
              <w:spacing w:after="0"/>
            </w:pPr>
            <w:r>
              <w:rPr>
                <w:rFonts w:ascii="Calibri" w:cs="Calibri" w:eastAsia="Calibri" w:hAnsi="Calibri"/>
                <w:b w:val="false"/>
                <w:bCs w:val="false"/>
                <w:color w:val="1F2A24"/>
                <w:sz w:val="20"/>
                <w:szCs w:val="20"/>
              </w:rPr>
              <w:t xml:space="preserve">Copywriters / bureaus</w:t>
            </w:r>
          </w:p>
        </w:tc>
        <w:tc>
          <w:tcPr>
            <w:tcBorders>
              <w:top w:val="single" w:color="D5E3DA" w:sz="4"/>
              <w:left w:val="single" w:color="D5E3DA" w:sz="4"/>
              <w:bottom w:val="single" w:color="D5E3DA" w:sz="4"/>
              <w:right w:val="single" w:color="D5E3DA" w:sz="4"/>
            </w:tcBorders>
            <w:shd w:fill="F4F9F6" w:val="clear"/>
            <w:tcMar>
              <w:top w:type="dxa" w:w="80"/>
              <w:left w:type="dxa" w:w="120"/>
              <w:bottom w:type="dxa" w:w="80"/>
              <w:right w:type="dxa" w:w="120"/>
            </w:tcMar>
            <w:vAlign w:val="center"/>
          </w:tcPr>
          <w:p>
            <w:pPr>
              <w:spacing w:after="0"/>
            </w:pPr>
            <w:r>
              <w:rPr>
                <w:rFonts w:ascii="Calibri" w:cs="Calibri" w:eastAsia="Calibri" w:hAnsi="Calibri"/>
                <w:b w:val="false"/>
                <w:bCs w:val="false"/>
                <w:color w:val="1F2A24"/>
                <w:sz w:val="20"/>
                <w:szCs w:val="20"/>
              </w:rPr>
              <w:t xml:space="preserve">Handgeschreven teksten</w:t>
            </w:r>
          </w:p>
        </w:tc>
        <w:tc>
          <w:tcPr>
            <w:tcBorders>
              <w:top w:val="single" w:color="D5E3DA" w:sz="4"/>
              <w:left w:val="single" w:color="D5E3DA" w:sz="4"/>
              <w:bottom w:val="single" w:color="D5E3DA" w:sz="4"/>
              <w:right w:val="single" w:color="D5E3DA" w:sz="4"/>
            </w:tcBorders>
            <w:shd w:fill="F4F9F6" w:val="clear"/>
            <w:tcMar>
              <w:top w:type="dxa" w:w="80"/>
              <w:left w:type="dxa" w:w="120"/>
              <w:bottom w:type="dxa" w:w="80"/>
              <w:right w:type="dxa" w:w="120"/>
            </w:tcMar>
            <w:vAlign w:val="center"/>
          </w:tcPr>
          <w:p>
            <w:pPr>
              <w:spacing w:after="0"/>
            </w:pPr>
            <w:r>
              <w:rPr>
                <w:rFonts w:ascii="Calibri" w:cs="Calibri" w:eastAsia="Calibri" w:hAnsi="Calibri"/>
                <w:b w:val="false"/>
                <w:bCs w:val="false"/>
                <w:color w:val="1F2A24"/>
                <w:sz w:val="20"/>
                <w:szCs w:val="20"/>
              </w:rPr>
              <w:t xml:space="preserve">±€50 per tekst</w:t>
            </w:r>
          </w:p>
        </w:tc>
        <w:tc>
          <w:tcPr>
            <w:tcBorders>
              <w:top w:val="single" w:color="D5E3DA" w:sz="4"/>
              <w:left w:val="single" w:color="D5E3DA" w:sz="4"/>
              <w:bottom w:val="single" w:color="D5E3DA" w:sz="4"/>
              <w:right w:val="single" w:color="D5E3DA" w:sz="4"/>
            </w:tcBorders>
            <w:shd w:fill="F4F9F6" w:val="clear"/>
            <w:tcMar>
              <w:top w:type="dxa" w:w="80"/>
              <w:left w:type="dxa" w:w="120"/>
              <w:bottom w:type="dxa" w:w="80"/>
              <w:right w:type="dxa" w:w="120"/>
            </w:tcMar>
            <w:vAlign w:val="center"/>
          </w:tcPr>
          <w:p>
            <w:pPr>
              <w:spacing w:after="0"/>
            </w:pPr>
            <w:r>
              <w:rPr>
                <w:rFonts w:ascii="Calibri" w:cs="Calibri" w:eastAsia="Calibri" w:hAnsi="Calibri"/>
                <w:b w:val="false"/>
                <w:bCs w:val="false"/>
                <w:color w:val="1F2A24"/>
                <w:sz w:val="20"/>
                <w:szCs w:val="20"/>
              </w:rPr>
              <w:t xml:space="preserve">Ons ROI-anker in elke pitch</w:t>
            </w:r>
          </w:p>
        </w:tc>
      </w:tr>
      <w:tr>
        <w:trPr>
          <w:tblHeader w:val="false"/>
        </w:trPr>
        <w:tc>
          <w:tcPr>
            <w:tcBorders>
              <w:top w:val="single" w:color="D5E3DA" w:sz="4"/>
              <w:left w:val="single" w:color="D5E3DA" w:sz="4"/>
              <w:bottom w:val="single" w:color="D5E3DA" w:sz="4"/>
              <w:right w:val="single" w:color="D5E3DA" w:sz="4"/>
            </w:tcBorders>
            <w:tcMar>
              <w:top w:type="dxa" w:w="80"/>
              <w:left w:type="dxa" w:w="120"/>
              <w:bottom w:type="dxa" w:w="80"/>
              <w:right w:type="dxa" w:w="120"/>
            </w:tcMar>
            <w:vAlign w:val="center"/>
          </w:tcPr>
          <w:p>
            <w:pPr>
              <w:spacing w:after="0"/>
            </w:pPr>
            <w:r>
              <w:rPr>
                <w:rFonts w:ascii="Calibri" w:cs="Calibri" w:eastAsia="Calibri" w:hAnsi="Calibri"/>
                <w:b w:val="false"/>
                <w:bCs w:val="false"/>
                <w:color w:val="1F2A24"/>
                <w:sz w:val="20"/>
                <w:szCs w:val="20"/>
              </w:rPr>
              <w:t xml:space="preserve">ChatGPT (doe-het-zelf)</w:t>
            </w:r>
          </w:p>
        </w:tc>
        <w:tc>
          <w:tcPr>
            <w:tcBorders>
              <w:top w:val="single" w:color="D5E3DA" w:sz="4"/>
              <w:left w:val="single" w:color="D5E3DA" w:sz="4"/>
              <w:bottom w:val="single" w:color="D5E3DA" w:sz="4"/>
              <w:right w:val="single" w:color="D5E3DA" w:sz="4"/>
            </w:tcBorders>
            <w:tcMar>
              <w:top w:type="dxa" w:w="80"/>
              <w:left w:type="dxa" w:w="120"/>
              <w:bottom w:type="dxa" w:w="80"/>
              <w:right w:type="dxa" w:w="120"/>
            </w:tcMar>
            <w:vAlign w:val="center"/>
          </w:tcPr>
          <w:p>
            <w:pPr>
              <w:spacing w:after="0"/>
            </w:pPr>
            <w:r>
              <w:rPr>
                <w:rFonts w:ascii="Calibri" w:cs="Calibri" w:eastAsia="Calibri" w:hAnsi="Calibri"/>
                <w:b w:val="false"/>
                <w:bCs w:val="false"/>
                <w:color w:val="1F2A24"/>
                <w:sz w:val="20"/>
                <w:szCs w:val="20"/>
              </w:rPr>
              <w:t xml:space="preserve">Losse prompts</w:t>
            </w:r>
          </w:p>
        </w:tc>
        <w:tc>
          <w:tcPr>
            <w:tcBorders>
              <w:top w:val="single" w:color="D5E3DA" w:sz="4"/>
              <w:left w:val="single" w:color="D5E3DA" w:sz="4"/>
              <w:bottom w:val="single" w:color="D5E3DA" w:sz="4"/>
              <w:right w:val="single" w:color="D5E3DA" w:sz="4"/>
            </w:tcBorders>
            <w:tcMar>
              <w:top w:type="dxa" w:w="80"/>
              <w:left w:type="dxa" w:w="120"/>
              <w:bottom w:type="dxa" w:w="80"/>
              <w:right w:type="dxa" w:w="120"/>
            </w:tcMar>
            <w:vAlign w:val="center"/>
          </w:tcPr>
          <w:p>
            <w:pPr>
              <w:spacing w:after="0"/>
            </w:pPr>
            <w:r>
              <w:rPr>
                <w:rFonts w:ascii="Calibri" w:cs="Calibri" w:eastAsia="Calibri" w:hAnsi="Calibri"/>
                <w:b w:val="false"/>
                <w:bCs w:val="false"/>
                <w:color w:val="1F2A24"/>
                <w:sz w:val="20"/>
                <w:szCs w:val="20"/>
              </w:rPr>
              <w:t xml:space="preserve">€20/mnd</w:t>
            </w:r>
          </w:p>
        </w:tc>
        <w:tc>
          <w:tcPr>
            <w:tcBorders>
              <w:top w:val="single" w:color="D5E3DA" w:sz="4"/>
              <w:left w:val="single" w:color="D5E3DA" w:sz="4"/>
              <w:bottom w:val="single" w:color="D5E3DA" w:sz="4"/>
              <w:right w:val="single" w:color="D5E3DA" w:sz="4"/>
            </w:tcBorders>
            <w:tcMar>
              <w:top w:type="dxa" w:w="80"/>
              <w:left w:type="dxa" w:w="120"/>
              <w:bottom w:type="dxa" w:w="80"/>
              <w:right w:type="dxa" w:w="120"/>
            </w:tcMar>
            <w:vAlign w:val="center"/>
          </w:tcPr>
          <w:p>
            <w:pPr>
              <w:spacing w:after="0"/>
            </w:pPr>
            <w:r>
              <w:rPr>
                <w:rFonts w:ascii="Calibri" w:cs="Calibri" w:eastAsia="Calibri" w:hAnsi="Calibri"/>
                <w:b w:val="false"/>
                <w:bCs w:val="false"/>
                <w:color w:val="1F2A24"/>
                <w:sz w:val="20"/>
                <w:szCs w:val="20"/>
              </w:rPr>
              <w:t xml:space="preserve">Grootste 'concurrent' in gedrag: kost 15–20 min per object, geen Funda-regels, geen consistente huisstijl, geen suite — precies ons verkoopverhaal</w:t>
            </w:r>
          </w:p>
        </w:tc>
      </w:tr>
    </w:tbl>
    <w:p>
      <w:pPr>
        <w:spacing w:after="120"/>
      </w:pPr>
    </w:p>
    <w:p>
      <w:pPr>
        <w:spacing w:after="160" w:line="300"/>
      </w:pPr>
      <w:r>
        <w:rPr>
          <w:rFonts w:ascii="Calibri" w:cs="Calibri" w:eastAsia="Calibri" w:hAnsi="Calibri"/>
          <w:b/>
          <w:bCs/>
          <w:color w:val="1F2A24"/>
          <w:sz w:val="22"/>
          <w:szCs w:val="22"/>
        </w:rPr>
        <w:t xml:space="preserve">Conclusie landschap:</w:t>
      </w:r>
      <w:r>
        <w:rPr>
          <w:rFonts w:ascii="Calibri" w:cs="Calibri" w:eastAsia="Calibri" w:hAnsi="Calibri"/>
          <w:color w:val="1F2A24"/>
          <w:sz w:val="22"/>
          <w:szCs w:val="22"/>
        </w:rPr>
        <w:t xml:space="preserve"> niemand combineert vandaag suite-breedte + NL-data + huisstijlgeheugen. De positie "het AI-contentplatform voor de NL-makelaardij" is nog vrij. Het gevecht is niet wie de beste tekst schrijft, maar wie het eerst de standaard wordt bij kantoren.</w:t>
      </w:r>
    </w:p>
    <w:p>
      <w:pPr>
        <w:keepNext/>
        <w:pBdr>
          <w:bottom w:val="single" w:color="D5E3DA" w:sz="6" w:space="4"/>
        </w:pBdr>
        <w:spacing w:after="160" w:before="360"/>
      </w:pPr>
      <w:r>
        <w:rPr>
          <w:rFonts w:ascii="Calibri" w:cs="Calibri" w:eastAsia="Calibri" w:hAnsi="Calibri"/>
          <w:b/>
          <w:bCs/>
          <w:color w:val="1A6B45"/>
          <w:sz w:val="30"/>
          <w:szCs w:val="30"/>
        </w:rPr>
        <w:t xml:space="preserve">9. Aanbevelingen en roadmap-implicaties</w:t>
      </w:r>
    </w:p>
    <w:p>
      <w:pPr>
        <w:spacing w:after="160" w:line="300"/>
      </w:pPr>
      <w:r>
        <w:rPr>
          <w:rFonts w:ascii="Calibri" w:cs="Calibri" w:eastAsia="Calibri" w:hAnsi="Calibri"/>
          <w:b/>
          <w:bCs/>
          <w:color w:val="1F2A24"/>
          <w:sz w:val="22"/>
          <w:szCs w:val="22"/>
        </w:rPr>
        <w:t xml:space="preserve">Positionering (per direct):</w:t>
      </w:r>
      <w:r>
        <w:rPr>
          <w:rFonts w:ascii="Calibri" w:cs="Calibri" w:eastAsia="Calibri" w:hAnsi="Calibri"/>
          <w:color w:val="1F2A24"/>
          <w:sz w:val="22"/>
          <w:szCs w:val="22"/>
        </w:rPr>
        <w:t xml:space="preserve"> VestaAI presenteren als complement aan workflow-tools: "HousApp regelt je agenda en inbox — VestaAI maakt je content." Nooit frontaal tegen HousApp positioneren; hun succes is ons marktbewijs.</w:t>
      </w:r>
    </w:p>
    <w:p>
      <w:pPr>
        <w:spacing w:after="160" w:line="300"/>
      </w:pPr>
      <w:r>
        <w:rPr>
          <w:rFonts w:ascii="Calibri" w:cs="Calibri" w:eastAsia="Calibri" w:hAnsi="Calibri"/>
          <w:b/>
          <w:bCs/>
          <w:color w:val="1F2A24"/>
          <w:sz w:val="22"/>
          <w:szCs w:val="22"/>
        </w:rPr>
        <w:t xml:space="preserve">Volgorde van bouwen (voorstel roadmap-aanpassing):</w:t>
      </w:r>
    </w:p>
    <w:p>
      <w:pPr>
        <w:pStyle w:val="ListParagraph"/>
        <w:numPr>
          <w:ilvl w:val="0"/>
          <w:numId w:val="9"/>
        </w:numPr>
        <w:spacing w:after="100" w:line="290"/>
      </w:pPr>
      <w:r>
        <w:rPr>
          <w:rFonts w:ascii="Calibri" w:cs="Calibri" w:eastAsia="Calibri" w:hAnsi="Calibri"/>
          <w:color w:val="1F2A24"/>
          <w:sz w:val="22"/>
          <w:szCs w:val="22"/>
        </w:rPr>
        <w:t xml:space="preserve">Nu: time-out-fix + outputkwaliteit valideren (staat er al — bevestigd als juiste prioriteit).</w:t>
      </w:r>
    </w:p>
    <w:p>
      <w:pPr>
        <w:pStyle w:val="ListParagraph"/>
        <w:numPr>
          <w:ilvl w:val="0"/>
          <w:numId w:val="9"/>
        </w:numPr>
        <w:spacing w:after="100" w:line="290"/>
      </w:pPr>
      <w:r>
        <w:rPr>
          <w:rFonts w:ascii="Calibri" w:cs="Calibri" w:eastAsia="Calibri" w:hAnsi="Calibri"/>
          <w:color w:val="1F2A24"/>
          <w:sz w:val="22"/>
          <w:szCs w:val="22"/>
        </w:rPr>
        <w:t xml:space="preserve">Nu: pilotmakelaar → testimonial + casestudy (staat er al als open item — urgentie verhoogd door dit onderzoek).</w:t>
      </w:r>
    </w:p>
    <w:p>
      <w:pPr>
        <w:pStyle w:val="ListParagraph"/>
        <w:numPr>
          <w:ilvl w:val="0"/>
          <w:numId w:val="9"/>
        </w:numPr>
        <w:spacing w:after="100" w:line="290"/>
      </w:pPr>
      <w:r>
        <w:rPr>
          <w:rFonts w:ascii="Calibri" w:cs="Calibri" w:eastAsia="Calibri" w:hAnsi="Calibri"/>
          <w:color w:val="1F2A24"/>
          <w:sz w:val="22"/>
          <w:szCs w:val="22"/>
        </w:rPr>
        <w:t xml:space="preserve">Nieuw, hoog: compliancepagina (AVG + verwerkersovereenkomst-template).</w:t>
      </w:r>
    </w:p>
    <w:p>
      <w:pPr>
        <w:pStyle w:val="ListParagraph"/>
        <w:numPr>
          <w:ilvl w:val="0"/>
          <w:numId w:val="9"/>
        </w:numPr>
        <w:spacing w:after="100" w:line="290"/>
      </w:pPr>
      <w:r>
        <w:rPr>
          <w:rFonts w:ascii="Calibri" w:cs="Calibri" w:eastAsia="Calibri" w:hAnsi="Calibri"/>
          <w:color w:val="1F2A24"/>
          <w:sz w:val="22"/>
          <w:szCs w:val="22"/>
        </w:rPr>
        <w:t xml:space="preserve">Nieuw, hoog: proefperiode-experiment (30 dagen of 3 objecten gratis).</w:t>
      </w:r>
    </w:p>
    <w:p>
      <w:pPr>
        <w:pStyle w:val="ListParagraph"/>
        <w:numPr>
          <w:ilvl w:val="0"/>
          <w:numId w:val="9"/>
        </w:numPr>
        <w:spacing w:after="100" w:line="290"/>
      </w:pPr>
      <w:r>
        <w:rPr>
          <w:rFonts w:ascii="Calibri" w:cs="Calibri" w:eastAsia="Calibri" w:hAnsi="Calibri"/>
          <w:color w:val="1F2A24"/>
          <w:sz w:val="22"/>
          <w:szCs w:val="22"/>
        </w:rPr>
        <w:t xml:space="preserve">Bestaand, opwaarderen: Realworks/Kolibri API-koppeling — van 'koppelingen ooit' naar strategische prioriteit na livegang.</w:t>
      </w:r>
    </w:p>
    <w:p>
      <w:pPr>
        <w:pStyle w:val="ListParagraph"/>
        <w:numPr>
          <w:ilvl w:val="0"/>
          <w:numId w:val="9"/>
        </w:numPr>
        <w:spacing w:after="100" w:line="290"/>
      </w:pPr>
      <w:r>
        <w:rPr>
          <w:rFonts w:ascii="Calibri" w:cs="Calibri" w:eastAsia="Calibri" w:hAnsi="Calibri"/>
          <w:color w:val="1F2A24"/>
          <w:sz w:val="22"/>
          <w:szCs w:val="22"/>
        </w:rPr>
        <w:t xml:space="preserve">Bestaand: social auto-publiceren (Meta/LinkedIn) — afmaken wat de kalender belooft.</w:t>
      </w:r>
    </w:p>
    <w:p>
      <w:pPr>
        <w:pStyle w:val="ListParagraph"/>
        <w:numPr>
          <w:ilvl w:val="0"/>
          <w:numId w:val="9"/>
        </w:numPr>
        <w:spacing w:after="100" w:line="290"/>
      </w:pPr>
      <w:r>
        <w:rPr>
          <w:rFonts w:ascii="Calibri" w:cs="Calibri" w:eastAsia="Calibri" w:hAnsi="Calibri"/>
          <w:color w:val="1F2A24"/>
          <w:sz w:val="22"/>
          <w:szCs w:val="22"/>
        </w:rPr>
        <w:t xml:space="preserve">Nieuw, laag: maandelijkse concurrentie-check HousApp (changelog, vacatures, Kolibri-blog) — 10 min per maand.</w:t>
      </w:r>
    </w:p>
    <w:p>
      <w:pPr>
        <w:spacing w:after="160" w:line="300"/>
      </w:pPr>
      <w:r>
        <w:rPr>
          <w:rFonts w:ascii="Calibri" w:cs="Calibri" w:eastAsia="Calibri" w:hAnsi="Calibri"/>
          <w:b/>
          <w:bCs/>
          <w:color w:val="1F2A24"/>
          <w:sz w:val="22"/>
          <w:szCs w:val="22"/>
        </w:rPr>
        <w:t xml:space="preserve">Wat we bewust níet doen:</w:t>
      </w:r>
      <w:r>
        <w:rPr>
          <w:rFonts w:ascii="Calibri" w:cs="Calibri" w:eastAsia="Calibri" w:hAnsi="Calibri"/>
          <w:color w:val="1F2A24"/>
          <w:sz w:val="22"/>
          <w:szCs w:val="22"/>
        </w:rPr>
        <w:t xml:space="preserve"> inbox, bezichtigingsplanner, leadgen-widgets — dat is HousApps terrein en zou onze focus versplinteren precies wanneer diepte onze verdediging is.</w:t>
      </w:r>
    </w:p>
    <w:p>
      <w:pPr>
        <w:keepNext/>
        <w:pBdr>
          <w:bottom w:val="single" w:color="D5E3DA" w:sz="6" w:space="4"/>
        </w:pBdr>
        <w:spacing w:after="160" w:before="360"/>
      </w:pPr>
      <w:r>
        <w:rPr>
          <w:rFonts w:ascii="Calibri" w:cs="Calibri" w:eastAsia="Calibri" w:hAnsi="Calibri"/>
          <w:b/>
          <w:bCs/>
          <w:color w:val="1A6B45"/>
          <w:sz w:val="30"/>
          <w:szCs w:val="30"/>
        </w:rPr>
        <w:t xml:space="preserve">Bronnen</w:t>
      </w:r>
    </w:p>
    <w:p>
      <w:pPr>
        <w:pStyle w:val="ListParagraph"/>
        <w:numPr>
          <w:ilvl w:val="0"/>
          <w:numId w:val="1"/>
        </w:numPr>
        <w:spacing w:after="80" w:line="290"/>
      </w:pPr>
      <w:r>
        <w:rPr>
          <w:rFonts w:ascii="Calibri" w:cs="Calibri" w:eastAsia="Calibri" w:hAnsi="Calibri"/>
          <w:color w:val="1F2A24"/>
          <w:sz w:val="22"/>
          <w:szCs w:val="22"/>
        </w:rPr>
        <w:t xml:space="preserve">HousApp productpagina's en prijzen: housapp.com en housapp.com/prijzen (geraadpleegd 2 juli 2026)</w:t>
      </w:r>
    </w:p>
    <w:p>
      <w:pPr>
        <w:pStyle w:val="ListParagraph"/>
        <w:numPr>
          <w:ilvl w:val="0"/>
          <w:numId w:val="1"/>
        </w:numPr>
        <w:spacing w:after="80" w:line="290"/>
      </w:pPr>
      <w:r>
        <w:rPr>
          <w:rFonts w:ascii="Calibri" w:cs="Calibri" w:eastAsia="Calibri" w:hAnsi="Calibri"/>
          <w:color w:val="1F2A24"/>
          <w:sz w:val="22"/>
          <w:szCs w:val="22"/>
        </w:rPr>
        <w:t xml:space="preserve">Funding €4,3 mln: PropertyNL, "HousApp haalt €4,3 mln op voor modernisering makelaardij" (propertynl.com)</w:t>
      </w:r>
    </w:p>
    <w:p>
      <w:pPr>
        <w:pStyle w:val="ListParagraph"/>
        <w:numPr>
          <w:ilvl w:val="0"/>
          <w:numId w:val="1"/>
        </w:numPr>
        <w:spacing w:after="80" w:line="290"/>
      </w:pPr>
      <w:r>
        <w:rPr>
          <w:rFonts w:ascii="Calibri" w:cs="Calibri" w:eastAsia="Calibri" w:hAnsi="Calibri"/>
          <w:color w:val="1F2A24"/>
          <w:sz w:val="22"/>
          <w:szCs w:val="22"/>
        </w:rPr>
        <w:t xml:space="preserve">Friva-overname: Emerce, "HousApp neemt Friva over en verdubbelt het aantal makelaars op het platform" (emerce.nl); Vastgoedjournaal (vastgoedjournaal.nl)</w:t>
      </w:r>
    </w:p>
    <w:p>
      <w:pPr>
        <w:pStyle w:val="ListParagraph"/>
        <w:numPr>
          <w:ilvl w:val="0"/>
          <w:numId w:val="1"/>
        </w:numPr>
        <w:spacing w:after="80" w:line="290"/>
      </w:pPr>
      <w:r>
        <w:rPr>
          <w:rFonts w:ascii="Calibri" w:cs="Calibri" w:eastAsia="Calibri" w:hAnsi="Calibri"/>
          <w:color w:val="1F2A24"/>
          <w:sz w:val="22"/>
          <w:szCs w:val="22"/>
        </w:rPr>
        <w:t xml:space="preserve">Landschap AI-tools: Woninganalyse-blog "AI voor makelaars: welke tools leveren echt iets op in 2026?" (woninganalyse.nl)</w:t>
      </w:r>
    </w:p>
    <w:p>
      <w:pPr>
        <w:pStyle w:val="ListParagraph"/>
        <w:numPr>
          <w:ilvl w:val="0"/>
          <w:numId w:val="1"/>
        </w:numPr>
        <w:spacing w:after="80" w:line="290"/>
      </w:pPr>
      <w:r>
        <w:rPr>
          <w:rFonts w:ascii="Calibri" w:cs="Calibri" w:eastAsia="Calibri" w:hAnsi="Calibri"/>
          <w:color w:val="1F2A24"/>
          <w:sz w:val="22"/>
          <w:szCs w:val="22"/>
        </w:rPr>
        <w:t xml:space="preserve">Makelaartoolkit-prijzen: makelaartoolkit.nl (geraadpleegd 2 juli 2026)</w:t>
      </w:r>
    </w:p>
    <w:p>
      <w:pPr>
        <w:pStyle w:val="ListParagraph"/>
        <w:numPr>
          <w:ilvl w:val="0"/>
          <w:numId w:val="1"/>
        </w:numPr>
        <w:spacing w:after="80" w:line="290"/>
      </w:pPr>
      <w:r>
        <w:rPr>
          <w:rFonts w:ascii="Calibri" w:cs="Calibri" w:eastAsia="Calibri" w:hAnsi="Calibri"/>
          <w:color w:val="1F2A24"/>
          <w:sz w:val="22"/>
          <w:szCs w:val="22"/>
        </w:rPr>
        <w:t xml:space="preserve">Kolibri over AI-woningteksten: kolibri.software (blog, september 2025)</w:t>
      </w:r>
    </w:p>
    <w:p>
      <w:pPr>
        <w:pStyle w:val="ListParagraph"/>
        <w:numPr>
          <w:ilvl w:val="0"/>
          <w:numId w:val="1"/>
        </w:numPr>
        <w:spacing w:after="80" w:line="290"/>
      </w:pPr>
      <w:r>
        <w:rPr>
          <w:rFonts w:ascii="Calibri" w:cs="Calibri" w:eastAsia="Calibri" w:hAnsi="Calibri"/>
          <w:color w:val="1F2A24"/>
          <w:sz w:val="22"/>
          <w:szCs w:val="22"/>
        </w:rPr>
        <w:t xml:space="preserve">VestaAI-gegevens: eigen codebase-inventarisatie en docs/goals.md, 2 juli 2026</w:t>
      </w:r>
    </w:p>
    <w:sectPr>
      <w:footerReference w:type="default" r:id="rId7"/>
      <w:pgSz w:w="11906" w:h="16838" w:orient="portrait"/>
      <w:pgMar w:top="1200" w:right="1250" w:bottom="1100" w:left="12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6B61"/>
        <w:sz w:val="17"/>
        <w:szCs w:val="17"/>
      </w:rPr>
      <w:t xml:space="preserve">VestaAI · intern &amp; vertrouwelijk  ·  pagina </w:t>
    </w:r>
    <w:r>
      <w:rPr>
        <w:rFonts w:ascii="Calibri" w:cs="Calibri" w:eastAsia="Calibri" w:hAnsi="Calibri"/>
        <w:color w:val="5A6B61"/>
        <w:sz w:val="17"/>
        <w:szCs w:val="17"/>
      </w:rPr>
      <w:fldChar w:fldCharType="begin"/>
      <w:instrText xml:space="preserve">PAGE</w:instrText>
      <w:fldChar w:fldCharType="separate"/>
      <w:fldChar w:fldCharType="end"/>
    </w:r>
    <w:r>
      <w:rPr>
        <w:rFonts w:ascii="Calibri" w:cs="Calibri" w:eastAsia="Calibri" w:hAnsi="Calibri"/>
        <w:color w:val="5A6B61"/>
        <w:sz w:val="17"/>
        <w:szCs w:val="17"/>
      </w:rPr>
      <w:t xml:space="preserve"> van </w:t>
    </w:r>
    <w:r>
      <w:rPr>
        <w:rFonts w:ascii="Calibri" w:cs="Calibri" w:eastAsia="Calibri" w:hAnsi="Calibri"/>
        <w:color w:val="5A6B61"/>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80" w:hanging="300"/>
      </w:pPr>
      <w:rPr>
        <w:b/>
        <w:bCs/>
        <w:color w:val="1A6B45"/>
      </w:rPr>
    </w:lvl>
  </w:abstractNum>
  <w:abstractNum w:abstractNumId="3" w15:restartNumberingAfterBreak="0">
    <w:multiLevelType w:val="hybridMultilevel"/>
    <w:lvl w:ilvl="0" w15:tentative="1">
      <w:start w:val="1"/>
      <w:numFmt w:val="decimal"/>
      <w:lvlText w:val="%1."/>
      <w:lvlJc w:val="start"/>
      <w:pPr>
        <w:ind w:left="480" w:hanging="300"/>
      </w:pPr>
      <w:rPr>
        <w:b/>
        <w:bCs/>
        <w:color w:val="1A6B45"/>
      </w:rPr>
    </w:lvl>
  </w:abstractNum>
  <w:abstractNum w:abstractNumId="4" w15:restartNumberingAfterBreak="0">
    <w:multiLevelType w:val="hybridMultilevel"/>
    <w:lvl w:ilvl="0" w15:tentative="1">
      <w:start w:val="1"/>
      <w:numFmt w:val="decimal"/>
      <w:lvlText w:val="%1."/>
      <w:lvlJc w:val="start"/>
      <w:pPr>
        <w:ind w:left="480" w:hanging="300"/>
      </w:pPr>
      <w:rPr>
        <w:b/>
        <w:bCs/>
        <w:color w:val="1A6B45"/>
      </w:rPr>
    </w:lvl>
  </w:abstractNum>
  <w:abstractNum w:abstractNumId="5" w15:restartNumberingAfterBreak="0">
    <w:multiLevelType w:val="hybridMultilevel"/>
    <w:lvl w:ilvl="0" w15:tentative="1">
      <w:start w:val="1"/>
      <w:numFmt w:val="decimal"/>
      <w:lvlText w:val="%1."/>
      <w:lvlJc w:val="start"/>
      <w:pPr>
        <w:ind w:left="480" w:hanging="300"/>
      </w:pPr>
      <w:rPr>
        <w:b/>
        <w:bCs/>
        <w:color w:val="1A6B45"/>
      </w:rPr>
    </w:lvl>
  </w:abstractNum>
  <w:abstractNum w:abstractNumId="6" w15:restartNumberingAfterBreak="0">
    <w:multiLevelType w:val="hybridMultilevel"/>
    <w:lvl w:ilvl="0" w15:tentative="1">
      <w:start w:val="4"/>
      <w:numFmt w:val="decimal"/>
      <w:lvlText w:val="%1."/>
      <w:lvlJc w:val="start"/>
      <w:pPr>
        <w:ind w:left="480" w:hanging="300"/>
      </w:pPr>
      <w:rPr>
        <w:b/>
        <w:bCs/>
        <w:color w:val="1A6B45"/>
      </w:rPr>
    </w:lvl>
  </w:abstractNum>
  <w:abstractNum w:abstractNumId="7" w15:restartNumberingAfterBreak="0">
    <w:multiLevelType w:val="hybridMultilevel"/>
    <w:lvl w:ilvl="0" w15:tentative="1">
      <w:start w:val="8"/>
      <w:numFmt w:val="decimal"/>
      <w:lvlText w:val="%1."/>
      <w:lvlJc w:val="start"/>
      <w:pPr>
        <w:ind w:left="480" w:hanging="300"/>
      </w:pPr>
      <w:rPr>
        <w:b/>
        <w:bCs/>
        <w:color w:val="1A6B45"/>
      </w:rPr>
    </w:lvl>
  </w:abstractNum>
  <w:abstractNum w:abstractNumId="8" w15:restartNumberingAfterBreak="0">
    <w:multiLevelType w:val="hybridMultilevel"/>
    <w:lvl w:ilvl="0" w15:tentative="1">
      <w:start w:val="1"/>
      <w:numFmt w:val="decimal"/>
      <w:lvlText w:val="%1."/>
      <w:lvlJc w:val="start"/>
      <w:pPr>
        <w:ind w:left="480" w:hanging="300"/>
      </w:pPr>
      <w:rPr>
        <w:b/>
        <w:bCs/>
        <w:color w:val="1A6B45"/>
      </w:rPr>
    </w:lvl>
  </w:abstractNum>
  <w:abstractNum w:abstractNumId="9" w15:restartNumberingAfterBreak="0">
    <w:multiLevelType w:val="hybridMultilevel"/>
    <w:lvl w:ilvl="0" w15:tentative="1">
      <w:start w:val="1"/>
      <w:numFmt w:val="decimal"/>
      <w:lvlText w:val="%1."/>
      <w:lvlJc w:val="start"/>
      <w:pPr>
        <w:ind w:left="480" w:hanging="300"/>
      </w:pPr>
      <w:rPr>
        <w:b/>
        <w:bCs/>
        <w:color w:val="1A6B45"/>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4"/>
    </w:lvlOverride>
  </w:num>
  <w:num w:numId="7">
    <w:abstractNumId w:val="7"/>
    <w:lvlOverride w:ilvl="0">
      <w:startOverride w:val="8"/>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Concurrentieanalyse: VestaAI vs. HousApp</dc:title>
  <dc:creator>VestaAI</dc:creator>
  <cp:lastModifiedBy>Un-named</cp:lastModifiedBy>
  <cp:revision>1</cp:revision>
  <dcterms:created xsi:type="dcterms:W3CDTF">2026-07-02T22:03:06.589Z</dcterms:created>
  <dcterms:modified xsi:type="dcterms:W3CDTF">2026-07-02T22:03:06.590Z</dcterms:modified>
</cp:coreProperties>
</file>

<file path=docProps/custom.xml><?xml version="1.0" encoding="utf-8"?>
<Properties xmlns="http://schemas.openxmlformats.org/officeDocument/2006/custom-properties" xmlns:vt="http://schemas.openxmlformats.org/officeDocument/2006/docPropsVTypes"/>
</file>