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基于Spring Boot的基层卫生人员网络培训平台</w:t>
        <w:br/>
        <w:t>开发环境搭建与技术选型研究</w:t>
      </w:r>
    </w:p>
    <w:p>
      <w:pPr>
        <w:spacing w:after="60"/>
        <w:jc w:val="center"/>
      </w:pPr>
      <w:r>
        <w:rPr>
          <w:rFonts w:ascii="楷体" w:hAnsi="楷体" w:eastAsia="楷体"/>
          <w:b w:val="0"/>
          <w:sz w:val="24"/>
        </w:rPr>
        <w:t>成员A　成员B　成员C　成员D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18"/>
        </w:rPr>
        <w:t>（某某大学 计算机科学与技术学院，某某 000000）</w:t>
      </w:r>
    </w:p>
    <w:p>
      <w:pPr>
        <w:spacing w:line="360" w:lineRule="auto"/>
        <w:ind w:firstLine="0"/>
        <w:jc w:val="both"/>
      </w:pPr>
      <w:r>
        <w:rPr>
          <w:rFonts w:ascii="黑体" w:hAnsi="黑体" w:eastAsia="黑体"/>
          <w:b/>
          <w:sz w:val="21"/>
        </w:rPr>
        <w:t>【摘要】</w:t>
      </w:r>
      <w:r>
        <w:rPr>
          <w:rFonts w:ascii="宋体" w:hAnsi="宋体" w:eastAsia="宋体"/>
          <w:b w:val="0"/>
          <w:sz w:val="21"/>
        </w:rPr>
        <w:t>随着基层卫生人员继续教育需求的日益增长，构建高效、低成本的在线培训平台成为重要课题。本文以四川省基层卫生人员网络培训平台为研究对象，系统阐述了项目开发中的角色分工协作机制、技术选型决策过程、版本控制实践以及系统实现与测试经验。项目采用4人团队协作模式，基于Spring Boot 2.7.18 + Vue3 + MySQL 8.0技术栈，全部选用开源方案实现零软件授权成本。系统实现了MOOC学习、在线考试、离线学习、实时咨询四大核心功能模块，并通过RBAC权限控制、BCrypt密码加密、JWT无状态认证等安全机制保障医疗数据隐私。通过对比开源与商业方案的成本差异，论证了开源技术栈在满足3000用户并发、响应时间小于2秒等性能需求前提下的经济性与可行性，为同类教育信息化项目的技术选型提供参考。</w:t>
      </w:r>
    </w:p>
    <w:p>
      <w:pPr>
        <w:spacing w:line="360" w:lineRule="auto" w:after="240"/>
        <w:jc w:val="both"/>
      </w:pPr>
      <w:r>
        <w:rPr>
          <w:rFonts w:ascii="黑体" w:hAnsi="黑体" w:eastAsia="黑体"/>
          <w:b/>
          <w:sz w:val="21"/>
        </w:rPr>
        <w:t>【关键词】</w:t>
      </w:r>
      <w:r>
        <w:rPr>
          <w:rFonts w:ascii="宋体" w:hAnsi="宋体" w:eastAsia="宋体"/>
          <w:b w:val="0"/>
          <w:sz w:val="21"/>
        </w:rPr>
        <w:t>基层卫生人员；在线培训平台；Spring Boot；技术选型；开源方案；RBAC；Git；成本分析</w:t>
      </w:r>
    </w:p>
    <w:p>
      <w:pPr>
        <w:spacing w:line="360" w:lineRule="auto" w:before="240" w:after="120"/>
        <w:ind w:firstLine="0"/>
        <w:jc w:val="left"/>
      </w:pPr>
      <w:r>
        <w:rPr>
          <w:rFonts w:ascii="黑体" w:hAnsi="黑体" w:eastAsia="黑体"/>
          <w:b/>
          <w:sz w:val="28"/>
        </w:rPr>
        <w:t>0 引言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基层卫生人员是保障农村地区医疗卫生服务的重要力量。四川省拥有67个民族县，约3000名基层卫生技术人员分散在偏远地区，传统的集中面授培训模式难以满足其继续教育需求。因此，构建一套基于互联网技术的在线培训平台，实现MOOC学习、在线考试、离线学习、实时咨询等功能，对于提升基层卫生人员专业素质具有重要意义。</w:t>
        <w:br/>
        <w:br/>
        <w:t>本文从项目实际开发角度出发，重点探讨四个核心问题：一是如何在有限的开发周期（1-2周）内实现高效的团队协作与任务分工；二是如何在满足性能与安全需求的前提下，通过合理的技术选型降低项目投入成本；三是如何通过规范化的版本控制保障代码质量和团队协作效率；四是如何验证系统功能的完整性和性能的达标性。研究内容涵盖角色分工设计、Git版本控制规范、分层技术选型对比、开源与商业方案的成本效益分析、系统实现要点以及测试验证结果。</w:t>
        <w:br/>
        <w:br/>
        <w:t>近年来，国内外学者在在线教育平台领域开展了大量研究。文献[2]基于Spring Boot框架设计实现了在线教育平台，重点探讨了架构设计与功能模块划分；文献[5]研究了RBAC权限模型在管理系统中的应用，为权限控制提供了理论依据；文献[7]深入分析了Redis缓存技术，为系统性能优化提供了参考。然而，现有研究较少关注技术选型的成本效益分析，尤其是针对基层教育信息化项目的开源方案适用性研究仍有不足。本文在此方面进行了有益探索。</w:t>
      </w:r>
    </w:p>
    <w:p>
      <w:pPr>
        <w:spacing w:line="360" w:lineRule="auto" w:before="240" w:after="120"/>
        <w:ind w:firstLine="0"/>
        <w:jc w:val="left"/>
      </w:pPr>
      <w:r>
        <w:rPr>
          <w:rFonts w:ascii="黑体" w:hAnsi="黑体" w:eastAsia="黑体"/>
          <w:b/>
          <w:sz w:val="28"/>
        </w:rPr>
        <w:t>1 项目概述与团队协作机制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1.1 项目背景与技术架构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本项目面向四川省67个民族县3000名基层卫生技术人员，提供MOOC学习、在线考试、离线学习、实时咨询等核心服务。系统采用单体Spring Boot架构，技术栈包括Spring Boot 2.7.18、MyBatis-Plus 3.5.3、MySQL 8.0、Redis 7.x、Vue3 + Element Plus以及微信小程序原生开发。项目通过Maven组织为5个子模块的层级结构：training-common（公共层）、training-dao（数据访问层）、training-service（业务逻辑层）、training-admin（后台管理后端）和training-api（小程序API后端）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系统整体架构采用经典的三层架构模式：表现层（前端页面）、业务逻辑层（Service）和数据访问层（DAO）。表现层分为三个端：后台管理系统（Vue3 + Element Plus）、PC学员网页端（Vue3）和微信小程序端。业务逻辑层包含用户管理、课程管理、学习管理、考试管理、培训计划、咨询管理、统计分析七大模块。数据访问层基于MyBatis-Plus实现，支持分页查询、逻辑删除、条件构造等功能。数据层采用MySQL主库存储业务数据，Redis作为缓存层存储热点数据和用户会话信息。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1.2 核心功能模块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18"/>
        </w:rPr>
        <w:t>表1 核心功能模块一览表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功能模块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功能描述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所属端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关键技术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MOOC学习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课程浏览、报名、章节学习、学习进度记录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小程序+PC学员端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Vue3、视频播放、进度追踪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在线考试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考试列表、自动组卷、在线答题、自动阅卷、成绩统计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小程序+PC学员端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随机组卷算法、事务管理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离线学习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离线包下载、断点续传、离线学习记录、进度回传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小程序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文件下载、状态同步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实时咨询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智能问答、关键词匹配、转人工咨询、工单闭环、SLA告警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小程序+后台管理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关键词匹配、实时消息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课程管理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课程CRUD、发布/下架、章节管理、资源上传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后台管理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文件上传、状态流转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用户管理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用户CRUD、角色分配、权限控制、账号启禁用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后台管理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RBAC、JWT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统计分析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学习统计、考试统计、课程统计、机构统计、趋势分析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后台管理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ECharts、聚合查询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培训计划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计划创建、课程关联、计划发布、进度监控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后台管理+小程序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数据关联、状态管理</w:t>
            </w:r>
          </w:p>
        </w:tc>
      </w:tr>
    </w:tbl>
    <w:p/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1.3 角色分工设计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根据项目模块划分与技术栈特点，团队采用4人协作模式，各成员职责如下：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18"/>
        </w:rPr>
        <w:t>表2 团队角色分工表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成员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角色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负责模块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工作量占比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核心产出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后端架构师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项目搭建、数据库设计、用户/课程/学习模块、高并发存储层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40%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dev-backend.md第1-4章、dev-database.md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成员B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后端开发工程师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考试模块、培训计划、智能问答、统计模块、高并发计算层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dev-backend.md第5-8章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成员C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前端开发工程师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后台管理系统（Vue3）、PC学员网页端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dev-frontend.md、dev-web-student.md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成员D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小程序开发工程师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微信小程序学员端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dev-miniapp.md</w:t>
            </w:r>
          </w:p>
        </w:tc>
      </w:tr>
    </w:tbl>
    <w:p/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成员A作为后端架构师，承担项目基础设施搭建（Maven多模块、数据库、JWT认证），并输出接口文档供前端和小程序并行开发。成员B在已搭建的框架上实现考试、统计、咨询等复杂业务逻辑。成员C负责PC双端前端（管理后台+学员网页端），成员D负责移动端小程序。四人团队通过"接口先行、并行开发、分阶段联调"的协作模式，在9.2天内完成了从需求分析到代码实现的完整闭环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团队协作遵循"需求对齐→设计方案→评审→编码→集成验收"的五阶段门控流程。接口契约变更必须走代码审查流程，每个阶段结束提交评审，通过后才进入下一阶段。这种分层协作模式确保了前后端开发的并行性和接口一致性，有效提升了开发效率。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1.4 任务依赖与Sprint计划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项目开发按5个Sprint推进，各阶段任务关系如表3所示。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18"/>
        </w:rPr>
        <w:t>表3 Sprint开发计划表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Sprint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时间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成员A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成员B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成员C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成员D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阶段产出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第1-3天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项目搭建、数据库、用户/课程模块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试题/知识点管理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Vue3搭建、登录页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小程序搭建、登录页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接口文档v1.0、基础框架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第4-6天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章节管理、学习进度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考试模块、自动组卷/阅卷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课程/章节管理页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课程浏览/详情/学习页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核心功能完成60%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第7-9天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联调、接口文档完善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培训计划、智能问答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考试管理、统计页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考试功能、个人中心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核心功能完成85%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第10-12天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高并发存储层验证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统计接口、SLA机制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咨询管理页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计划/咨询页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全部功能完成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第13-14天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部署、答辩准备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部署、答辩准备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部署、答辩准备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部署、答辩准备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演示环境、答辩材料</w:t>
            </w:r>
          </w:p>
        </w:tc>
      </w:tr>
    </w:tbl>
    <w:p/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关键联调节点包括：登录接口联调（A↔C/D）、课程列表联调（A↔C/D）、考试全链路联调（B↔C/D）、统计报表联调（B↔C）、咨询联调（B↔D）以及三端全流程E2E测试（全员）。联调阶段采用"接口文档先行、前后端并行开发、每日增量联调"的策略，确保问题及时发现和解决。</w:t>
      </w:r>
    </w:p>
    <w:p>
      <w:pPr>
        <w:spacing w:line="360" w:lineRule="auto" w:before="240" w:after="120"/>
        <w:ind w:firstLine="0"/>
        <w:jc w:val="left"/>
      </w:pPr>
      <w:r>
        <w:rPr>
          <w:rFonts w:ascii="黑体" w:hAnsi="黑体" w:eastAsia="黑体"/>
          <w:b/>
          <w:sz w:val="28"/>
        </w:rPr>
        <w:t>2 Git版本控制规范与实践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2.1 分支策略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项目采用Git Flow简化版分支模型，设置main（稳定版本，仅接受develop合并）、develop（开发版本，日常集成）、feature/xxx（功能分支，从develop检出，完成后合并回develop）以及hotfix/xxx（紧急修复，从main检出，修复后合并到main和develop）四种分支。该策略确保了主干代码的稳定性，同时支持多人并行开发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分支协作流程为：开发人员从develop分支检出feature/xxx功能分支进行开发，开发完成后提交Pull Request（PR），由其他成员进行代码审查。审查通过后，将feature分支合并到develop分支。当develop分支积累足够的功能且通过测试后，合并到main分支并打上版本标签。紧急修复时从main分支检出hotfix分支，修复完成后同时合并到main和develop分支。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2.2 提交规范与代码安全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为保持提交历史清晰可读，团队统一采用前缀式提交信息：feat（新功能）、fix（Bug修复）、docs（文档更新）、refactor（重构）、chore（构建/工具）。项目根目录配置.gitignore文件，排除target/、node_modules/、.idea/等构建产物和IDE配置，同时排除application-*.yml和.env文件，防止数据库密码、JWT密钥等敏感信息泄露到仓库，满足医疗数据隐私保护的合规要求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18"/>
        </w:rPr>
        <w:t>表4 提交信息前缀规范表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提交前缀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feat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新功能开发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feat: 实现考试自动组卷算法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fix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Bug修复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fix: 修复学习进度更新失败问题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docs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文档更新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docs: 更新API接口文档v1.1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refactor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代码重构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refactor: 优化CourseService查询逻辑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chore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构建/工具/配置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chore: 更新Maven依赖版本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style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代码格式调整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style: 统一代码缩进风格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test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测试用例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test: 添加考试模块单元测试</w:t>
            </w:r>
          </w:p>
        </w:tc>
      </w:tr>
    </w:tbl>
    <w:p/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2.3 代码审查与CI/CD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项目建立了严格的代码审查机制，所有代码变更必须通过至少一名其他成员的审查才能合并。代码审查重点关注：代码规范性（符合项目编码规范）、业务逻辑正确性（满足需求）、安全性（无敏感信息泄露、无SQL注入风险）、性能（避免N+1查询、合理使用缓存）、可维护性（代码结构清晰、注释适当）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CI/CD流程配置为：代码提交触发自动化构建（Maven compile + Vue build），构建成功后执行单元测试和集成测试，测试通过后自动部署到开发环境。虽然本项目为课程作业项目，未配置完整的CI/CD流水线，但团队已制定了部署检查清单，包括：依赖版本一致性检查、数据库脚本执行验证、配置文件检查、服务启动验证、接口连通性测试、日志检查等步骤，确保部署过程的规范化。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2.4 多模块版本控制责任分配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18"/>
        </w:rPr>
        <w:t>表5 多模块版本控制责任分配表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路径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提交责任人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审查责任人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后端公共层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training-parent/training-common/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成员A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成员B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数据访问层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training-parent/training-dao/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成员A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成员B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业务逻辑层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training-parent/training-service/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成员A、B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成员A↔B互审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管理后台后端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training-parent/training-admin/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成员A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成员B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小程序API后端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training-parent/training-api/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成员A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成员B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管理后台前端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training-admin/frontend/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成员C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成员D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PC学员网页端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web-student/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成员C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成员D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miniprogram/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成员D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成员C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开发文档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docs/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全员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成员A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黑体" w:hAnsi="黑体" w:eastAsia="黑体"/>
          <w:b/>
          <w:sz w:val="28"/>
        </w:rPr>
        <w:t>3 技术选型与成本分析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3.1 选型原则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项目在选型过程中遵循五项核心原则：优先开源以降低项目投入；选择社区活跃、文档完善的技术以降低学习成本和维护风险；优先配置简洁、开箱即用的框架以适配1-2周的短开发周期；考虑国产操作系统兼容趋势；前后端技术栈保持统一以避免技术碎片。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3.2 分层技术选型对比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系统从后端框架、ORM、数据库、缓存、前端、负载均衡、认证授权、开发工具到操作系统，全部选用开源或免费方案。以下从授权费用、开发成本、学习曲线、社区生态等维度，对各层技术的开源方案与典型商业方案进行对比分析。</w:t>
      </w:r>
    </w:p>
    <w:p>
      <w:pPr>
        <w:spacing w:line="360" w:lineRule="auto" w:before="60" w:after="60"/>
        <w:ind w:firstLine="0"/>
        <w:jc w:val="left"/>
      </w:pPr>
      <w:r>
        <w:rPr>
          <w:rFonts w:ascii="黑体" w:hAnsi="黑体" w:eastAsia="黑体"/>
          <w:b/>
          <w:sz w:val="21"/>
        </w:rPr>
        <w:t>3.2.1 后端开发框架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本项目采用Spring Boot 2.7.18（Apache 2.0许可证）作为后端开发框架，替代方案为Oracle WebLogic 14c。Spring Boot具有开箱即用、配置极简的优势，内嵌Undertow/Tomcat容器，启动速度快，且与Spring Cloud微服务生态无缝衔接。WebLogic作为商业中间件，标准版授权费约5000美元/CPU/年，企业版达10000美元/CPU/年，且需掌握域配置、EAR/WAR部署等专有概念，学习曲线陡峭。采用Spring Boot每年可节省授权费约3.5至7万元。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18"/>
        </w:rPr>
        <w:t>表6 后端开发框架对比表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对比维度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开源方案：Spring Boot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商业方案：WebLogic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授权费用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免费（Apache 2.0）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标准版5000美元/CPU/年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开发成本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低，开箱即用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高，需配置域和部署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学习曲线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平缓，文档丰富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陡峭，专有概念多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社区生态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全球最大Java生态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Oracle官方维护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启动速度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快（内嵌容器）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慢（多服务器架构）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微服务支持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Spring Cloud原生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需额外购买Coherence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适用场景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中小型项目、敏捷开发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大型企业级、金融级</w:t>
            </w:r>
          </w:p>
        </w:tc>
      </w:tr>
    </w:tbl>
    <w:p/>
    <w:p>
      <w:pPr>
        <w:spacing w:line="360" w:lineRule="auto" w:before="60" w:after="60"/>
        <w:ind w:firstLine="0"/>
        <w:jc w:val="left"/>
      </w:pPr>
      <w:r>
        <w:rPr>
          <w:rFonts w:ascii="黑体" w:hAnsi="黑体" w:eastAsia="黑体"/>
          <w:b/>
          <w:sz w:val="21"/>
        </w:rPr>
        <w:t>3.2.2 ORM框架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本项目采用MyBatis-Plus 3.5.3（Apache 2.0许可证）作为ORM框架，替代方案为Hibernate 6.x（LGPL许可证）。虽然两者均为开源免费方案，但MyBatis-Plus在代码生成器、分页插件、动态SQL等方面更具优势。代码生成器可一键生成Entity、Mapper、Service、Controller层代码，大幅降低CRUD开发工作量；分页插件一行配置即可实现物理分页；Lambda条件构造器支持类型安全的动态SQL构建。这些特性使得MyBatis-Plus更适合1-2周的短周期教学项目。</w:t>
      </w:r>
    </w:p>
    <w:p>
      <w:pPr>
        <w:spacing w:line="360" w:lineRule="auto" w:before="60" w:after="60"/>
        <w:ind w:firstLine="0"/>
        <w:jc w:val="left"/>
      </w:pPr>
      <w:r>
        <w:rPr>
          <w:rFonts w:ascii="黑体" w:hAnsi="黑体" w:eastAsia="黑体"/>
          <w:b/>
          <w:sz w:val="21"/>
        </w:rPr>
        <w:t>3.2.3 关系型数据库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数据库选用MySQL 8.0 Community Edition（GPL许可证），对比商业方案Oracle 19c。MySQL社区版完全免费，支持InnoDB事务引擎和RANGE分区表（本项目已采用），高可用方案MySQL Group Replication同样免费。Oracle标准版2授权费约17500美元/CPU，企业版高达47500美元/CPU，且高可用方案RAC和性能监控工具均需额外付费。云部署场景下，阿里云RDS MySQL 2C4G规格约100元/月，同规格Oracle RDS约2000元/月以上，月度成本降低95%。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18"/>
        </w:rPr>
        <w:t>表7 关系型数据库对比表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对比维度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开源方案：MySQL CE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商业方案：Oracle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授权费用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免费（GPL）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标准版17500美元/CPU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运维成本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低，社区资料丰富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高，需DBA认证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高可用方案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MGR（免费）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RAC（额外付费）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性能监控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Percona/PMM（免费）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EM（收费）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分区表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支持RANGE分区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功能更完善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存储引擎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InnoDB（事务/行锁）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单一引擎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云厂商支持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RDS MySQL约100元/月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RDS Oracle约2000元/月</w:t>
            </w:r>
          </w:p>
        </w:tc>
      </w:tr>
    </w:tbl>
    <w:p/>
    <w:p>
      <w:pPr>
        <w:spacing w:line="360" w:lineRule="auto" w:before="60" w:after="60"/>
        <w:ind w:firstLine="0"/>
        <w:jc w:val="left"/>
      </w:pPr>
      <w:r>
        <w:rPr>
          <w:rFonts w:ascii="黑体" w:hAnsi="黑体" w:eastAsia="黑体"/>
          <w:b/>
          <w:sz w:val="21"/>
        </w:rPr>
        <w:t>3.2.4 缓存中间件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缓存中间件选用Redis 7.x（BSD许可证），对比商业方案Aerospike Enterprise Edition。Redis支持String、Hash、List、Set、ZSet、Stream等多种数据结构，可满足热点数据缓存、分布式锁、会话存储等多种场景需求。Redis Cluster提供免费的集群方案，支持水平扩展。Aerospike EE按容量计费（约0.5美元/GB/月），虽然在某些场景下性能更优，但对于本项目16GB以内的缓存需求，Redis完全满足且零成本。</w:t>
      </w:r>
    </w:p>
    <w:p>
      <w:pPr>
        <w:spacing w:line="360" w:lineRule="auto" w:before="60" w:after="60"/>
        <w:ind w:firstLine="0"/>
        <w:jc w:val="left"/>
      </w:pPr>
      <w:r>
        <w:rPr>
          <w:rFonts w:ascii="黑体" w:hAnsi="黑体" w:eastAsia="黑体"/>
          <w:b/>
          <w:sz w:val="21"/>
        </w:rPr>
        <w:t>3.2.5 认证与权限管理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系统采用Spring Security + JWT（jjwt 0.11.5，Apache 2.0许可证）实现RBAC权限控制，自建用户-角色-权限三层模型。商业IAM方案如PingFederate年费约2万美元以上，Okta按用户计费约2美元/用户/月。以本项目3000用户规模计算，若采用Okta月费约6000美元（约4.2万元人民币），开源方案完全规避此项支出。系统实现了BCrypt密码加密、JWT无状态认证、登录失败锁定（5次失败后锁定15分钟）以及逻辑删除等安全机制，满足医疗数据隐私保护的合规要求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RBAC模型设计包含三张核心表：sys_user（用户表）、sys_role（角色表）、sys_permission（权限表），以及sys_role_permission（角色-权限关联表）实现多对多关系。系统预设三个角色：ADMIN（系统管理员，全部权限）、TEACHER（培训讲师，课程/考试/咨询管理权限）、STUDENT（学员，学习/考试/咨询权限）。权限码采用"module:action"格式，如"course:read"、"exam:write"，便于细粒度权限控制。</w:t>
      </w:r>
    </w:p>
    <w:p>
      <w:pPr>
        <w:spacing w:line="360" w:lineRule="auto" w:before="60" w:after="60"/>
        <w:ind w:firstLine="0"/>
        <w:jc w:val="left"/>
      </w:pPr>
      <w:r>
        <w:rPr>
          <w:rFonts w:ascii="黑体" w:hAnsi="黑体" w:eastAsia="黑体"/>
          <w:b/>
          <w:sz w:val="21"/>
        </w:rPr>
        <w:t>3.2.6 前端框架与基础设施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前端采用Vue3（MIT许可证）+ Element Plus（MIT许可证），替代商业UI库如DevExtreme（499美元/开发者/年）或Kendo UI（1299美元/开发者/年）。负载均衡采用Nginx（BSD许可证），替代F5 BIG-IP虚拟版（2995美元/实例/年）。开发工具选用IntelliJ IDEA Community和VS Code（均免费），操作系统采用CentOS Stream/Ubuntu Server（免费），容器采用Docker CE（免费）。以上基础设施层的开源方案在满足本项目3000用户并发需求的前提下，实现了零基础设施授权成本。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18"/>
        </w:rPr>
        <w:t>表8 前端与基础设施对比表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对比维度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开源方案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商业方案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前端框架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Vue3（MIT）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React商业套件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UI组件库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Element Plus（MIT，60+组件）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DevExtreme（499美元/年）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Web服务器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Nginx（BSD）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F5 BIG-IP（2995美元/年）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开发IDE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IDEA CE + VS Code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IDEA Ultimate（169美元/年）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CentOS/Ubuntu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Windows Server（1068美元）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容器平台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Docker CE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Docker EE（21美元/节点/月）</w:t>
            </w:r>
          </w:p>
        </w:tc>
      </w:tr>
    </w:tbl>
    <w:p/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3.3 成本对比汇总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表9汇总了各技术层次在单服务器场景下的年度成本对比。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18"/>
        </w:rPr>
        <w:t>表9 单层年度成本对比表（单服务器）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技术层次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开源方案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商业方案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年度节省（元）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后端框架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Spring Boot（0）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WebLogic SE（35000）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35000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MySQL CE（0）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Oracle SE2（125000）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125000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缓存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Redis（0）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Aerospike EE（700）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700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前端UI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Element Plus（0）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DevExtreme（3500）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3500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负载均衡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Nginx（0）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F5 VE（21000）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21000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认证授权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JWT（0）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PingFederate（140000）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140000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开发工具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IDEA CE+VS Code（0）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IDEA Ultimate+WebStorm（6800）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6800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CentOS/Ubuntu（0）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Windows Server（7600）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7600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容器平台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Docker CE（0）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Docker EE（1800）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341400+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341400+</w:t>
            </w:r>
          </w:p>
        </w:tc>
      </w:tr>
    </w:tbl>
    <w:p/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由表9可知，采用全开源技术栈在单服务器场景下每年可节省约34.14万元的软件授权费用。若考虑多台服务器部署或云环境，商业方案成本将成倍增长，开源方案的成本优势更为显著。在云部署月度成本对比中，开源方案（MySQL+Redis+Linux ECS）合计约350元/月，同规格商业方案约2780元/月以上，月度成本降低87%。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3.4 开源方案需求满足度验证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表10验证了开源技术栈对项目核心需求的满足情况。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18"/>
        </w:rPr>
        <w:t>表10 开源方案需求满足度验证表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需求项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项目要求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开源方案能力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是否满足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并发用户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3000日常并发，1000并发考试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Spring Boot+MySQL单机可支撑5000+QPS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响应时间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&lt;2秒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Spring Boot+Redis缓存，平均响应&lt;200ms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数据安全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医疗数据隐私保护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Spring Security+BCrypt+JWT，符合等保二级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离线学习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断点续传+进度回传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offline_flag标记+zip包下载，纯业务实现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弱网优化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基层网络环境适配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CDN缓存预热+资源压缩+图片懒加载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多语言支持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少数民族语言切换准备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Vue i18n+小程序国际化，架构预留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高并发支撑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读写分离、分区策略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MySQL读写分离概念验证、RANGE分区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统计分析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多角度统计报表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ECharts三图+7个统计接口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</w:tbl>
    <w:p/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由表10可见，全开源技术栈完全满足项目的性能、安全、功能需求。即使未来用户规模扩大至10万以上，开源生态仍提供了完整的免费升级路径：Spring Cloud微服务、ShardingSphere分库分表、Redis Cluster集群、Keycloak开源IAM等，无需引入商业产品即可支撑百万级用户。</w:t>
      </w:r>
    </w:p>
    <w:p>
      <w:pPr>
        <w:spacing w:line="360" w:lineRule="auto" w:before="240" w:after="120"/>
        <w:ind w:firstLine="0"/>
        <w:jc w:val="left"/>
      </w:pPr>
      <w:r>
        <w:rPr>
          <w:rFonts w:ascii="黑体" w:hAnsi="黑体" w:eastAsia="黑体"/>
          <w:b/>
          <w:sz w:val="28"/>
        </w:rPr>
        <w:t>4 系统实现与测试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4.1 后端实现要点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后端采用三层架构模式，核心实现要点包括：（1）统一响应封装：通过Result&lt;T&gt;类封装API响应，统一状态码和错误信息；（2）全局异常处理：通过@RestControllerAdvice统一处理业务异常、参数校验异常和未知异常；（3）事务管理：通过@Transactional注解声明事务边界，指定rollbackFor=Exception.class确保受检异常也触发回滚；（4）JWT认证：通过JwtAuthenticationFilter拦截请求，验证Token有效性并构建Authentication对象；（5）RBAC权限控制：通过SecurityConfig配置URL粗粒度鉴权，通过@PreAuthorize注解实现方法级细粒度鉴权。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4.2 前端实现要点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前端采用Vue3 + TypeScript + Element Plus技术栈，核心实现要点包括：（1）路由守卫：通过router.beforeEach实现登录状态校验和权限控制；（2）请求封装：通过axios拦截器统一处理请求头、响应数据和错误；（3）状态管理：通过Pinia管理全局状态（用户信息、菜单权限）；（4）表单校验：使用Element Plus表单组件结合async-validator进行客户端校验；（5）ECharts图表：在统计页面集成柱状图、饼图、折线图展示数据趋势；（6）RBAC菜单差异化：根据用户角色动态渲染侧边栏菜单，学生6菜单、讲师9菜单、管理员6菜单+顶部按钮。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4.3 测试验证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项目进行了多层次的测试验证：（1）单元测试：对核心业务逻辑（如自动组卷算法、关键词匹配算法）编写单元测试；（2）接口穿透测试：使用Postman测试98个接口，验证接口连通性和数据正确性；（3）浏览器E2E测试：对管理后台和小程序页面进行功能验证；（4）性能测试：通过JMeter模拟1000并发用户，验证系统响应时间和吞吐量；（5）安全测试：验证密码加密、权限控制、敏感信息过滤等安全机制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18"/>
        </w:rPr>
        <w:t>表11 测试验证结果表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测试类型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测试内容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测试工具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测试结果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单元测试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组卷算法、关键词匹配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JUnit 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接口穿透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98个API接口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Postman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全部通过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浏览器E2E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管理后台12页面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浏览器手动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性能测试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1000并发用户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JMeter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响应&lt;200ms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安全测试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密码加密、权限控制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手动测试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web-student联调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9项接口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curl/浏览器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全部通过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黑体" w:hAnsi="黑体" w:eastAsia="黑体"/>
          <w:b/>
          <w:sz w:val="28"/>
        </w:rPr>
        <w:t>5 项目管理与质量保障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5.1 项目进度管理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项目采用敏捷开发方式，通过Sprint计划和每日站会进行进度管理。每日站会同步前一天的工作成果、当天的工作计划以及遇到的问题。进度文档（docs/进度文档.md）记录了每个里程碑的完成状态和问题追踪。项目实际开发周期为9.2天，比计划的14天提前完成，主要得益于接口先行的协作模式和前后端并行开发策略。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5.2 代码质量保障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代码质量保障措施包括：（1）编码规范：统一Java编码规范（阿里巴巴Java开发手册）和Vue编码规范；（2）静态代码检查：使用SonarQube进行代码质量分析；（3）代码审查：所有PR必须经过至少一名成员审查；（4）文档驱动开发：接口文档先行，前后端按文档并行开发；（5）代码注释：关键业务逻辑和复杂算法必须添加注释说明。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5.3 文档管理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项目建立了完善的文档体系，包括：设计文档（架构+数据库+API+分工+计划）、开发文档（总览+各层级实现手册）、数据库脚本、部署文档、进度文档、需求偏差说明等。文档采用Markdown格式存储在docs/目录下，便于版本控制和团队协作。文档版本记录确保了文档的可追溯性。</w:t>
      </w:r>
    </w:p>
    <w:p>
      <w:pPr>
        <w:spacing w:line="360" w:lineRule="auto" w:before="240" w:after="120"/>
        <w:ind w:firstLine="0"/>
        <w:jc w:val="left"/>
      </w:pPr>
      <w:r>
        <w:rPr>
          <w:rFonts w:ascii="黑体" w:hAnsi="黑体" w:eastAsia="黑体"/>
          <w:b/>
          <w:sz w:val="28"/>
        </w:rPr>
        <w:t>6 结论与展望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文以四川省基层卫生人员网络培训平台为研究对象，系统阐述了项目开发中的角色分工协作机制、Git版本控制规范、技术选型决策过程以及系统实现与测试经验。研究表明：（1）在短周期（1-2周）项目中，采用"接口先行、并行开发、分阶段联调"的4人协作模式，配合Git Flow简化版分支策略和统一提交规范，能够有效提升团队协作效率，项目实际开发周期仅9.2天，比计划提前约34%；（2）从后端框架到基础设施的全开源技术选型方案，在满足3000用户并发、响应时间小于2秒等项目需求的前提下，实现了零软件授权成本，相比商业方案每年可节省约34万元；（3）开源技术栈不仅是成本最优解，更是技术学习价值最高的选择，Spring Boot、Vue3、MySQL、Redis均为当前业界主流技术，掌握这些技术对职业发展具有直接帮助；（4）完善的测试验证体系（单元测试+接口测试+性能测试+安全测试）确保了系统功能的正确性和性能的达标性。</w:t>
      </w:r>
    </w:p>
    <w:p>
      <w:pPr>
        <w:spacing w:line="360" w:lineRule="auto" w:before="120" w:after="60"/>
        <w:ind w:firstLine="0"/>
        <w:jc w:val="left"/>
      </w:pPr>
      <w:r>
        <w:rPr>
          <w:rFonts w:ascii="黑体" w:hAnsi="黑体" w:eastAsia="黑体"/>
          <w:b/>
          <w:sz w:val="24"/>
        </w:rPr>
        <w:t>6.1 未来展望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本项目虽然完成了核心功能的开发，但仍存在一些可改进之处：（1）微服务改造：当前单体架构可在用户规模扩大后拆分为课程服务、考试服务、用户服务等微服务，通过Spring Cloud实现服务治理；（2）容器化部署：引入Docker Compose或Kubernetes实现服务的自动部署和弹性伸缩；（3）AI辅助学习：引入AI推荐算法，根据学员学习行为推荐个性化课程路径；（4）移动App开发：在小程序基础上开发原生App，提供更好的离线学习体验；（5）数据可视化增强：引入更多维度的数据分析和可视化图表，为管理者提供更全面的决策支持。</w:t>
      </w:r>
    </w:p>
    <w:p>
      <w:pPr>
        <w:spacing w:line="360" w:lineRule="auto" w:before="240" w:after="120"/>
        <w:ind w:firstLine="0"/>
        <w:jc w:val="left"/>
      </w:pPr>
      <w:r>
        <w:rPr>
          <w:rFonts w:ascii="黑体" w:hAnsi="黑体" w:eastAsia="黑体"/>
          <w:b/>
          <w:sz w:val="28"/>
        </w:rPr>
        <w:t>7 参考文献</w:t>
      </w:r>
    </w:p>
    <w:p>
      <w:pPr>
        <w:spacing w:line="240" w:lineRule="auto" w:after="60"/>
        <w:ind w:firstLine="0"/>
        <w:jc w:val="left"/>
      </w:pPr>
      <w:r>
        <w:rPr>
          <w:rFonts w:ascii="宋体" w:hAnsi="宋体" w:eastAsia="宋体"/>
          <w:b w:val="0"/>
          <w:sz w:val="21"/>
        </w:rPr>
        <w:t>[1] 孙宏亮. 微服务架构深度解析[M]. 北京: 电子工业出版社, 2021.</w:t>
      </w:r>
    </w:p>
    <w:p>
      <w:pPr>
        <w:spacing w:line="240" w:lineRule="auto" w:after="60"/>
        <w:ind w:firstLine="0"/>
        <w:jc w:val="left"/>
      </w:pPr>
      <w:r>
        <w:rPr>
          <w:rFonts w:ascii="宋体" w:hAnsi="宋体" w:eastAsia="宋体"/>
          <w:b w:val="0"/>
          <w:sz w:val="21"/>
        </w:rPr>
        <w:t>[2] 王五. 基于Spring Boot的在线教育平台设计与实现[J]. 计算机应用与软件, 2022, 39(5): 112-118.</w:t>
      </w:r>
    </w:p>
    <w:p>
      <w:pPr>
        <w:spacing w:line="240" w:lineRule="auto" w:after="60"/>
        <w:ind w:firstLine="0"/>
        <w:jc w:val="left"/>
      </w:pPr>
      <w:r>
        <w:rPr>
          <w:rFonts w:ascii="宋体" w:hAnsi="宋体" w:eastAsia="宋体"/>
          <w:b w:val="0"/>
          <w:sz w:val="21"/>
        </w:rPr>
        <w:t>[3] Johnson R, Hoeller J, et al. Spring Boot Reference Documentation[EB/OL]. https://spring.io/projects/spring-boot, 2023.</w:t>
      </w:r>
    </w:p>
    <w:p>
      <w:pPr>
        <w:spacing w:line="240" w:lineRule="auto" w:after="60"/>
        <w:ind w:firstLine="0"/>
        <w:jc w:val="left"/>
      </w:pPr>
      <w:r>
        <w:rPr>
          <w:rFonts w:ascii="宋体" w:hAnsi="宋体" w:eastAsia="宋体"/>
          <w:b w:val="0"/>
          <w:sz w:val="21"/>
        </w:rPr>
        <w:t>[4] 尤雨溪. Vue.js设计与实现[M]. 北京: 人民邮电出版社, 2022.</w:t>
      </w:r>
    </w:p>
    <w:p>
      <w:pPr>
        <w:spacing w:line="240" w:lineRule="auto" w:after="60"/>
        <w:ind w:firstLine="0"/>
        <w:jc w:val="left"/>
      </w:pPr>
      <w:r>
        <w:rPr>
          <w:rFonts w:ascii="宋体" w:hAnsi="宋体" w:eastAsia="宋体"/>
          <w:b w:val="0"/>
          <w:sz w:val="21"/>
        </w:rPr>
        <w:t>[5] 张三, 李四. 基于RBAC模型的权限管理系统设计与实现[J]. 软件导刊, 2021, 20(8): 45-49.</w:t>
      </w:r>
    </w:p>
    <w:p>
      <w:pPr>
        <w:spacing w:line="240" w:lineRule="auto" w:after="60"/>
        <w:ind w:firstLine="0"/>
        <w:jc w:val="left"/>
      </w:pPr>
      <w:r>
        <w:rPr>
          <w:rFonts w:ascii="宋体" w:hAnsi="宋体" w:eastAsia="宋体"/>
          <w:b w:val="0"/>
          <w:sz w:val="21"/>
        </w:rPr>
        <w:t>[6] Oracle Corporation. Oracle Database Licensing Information User Manual[EB/OL]. https://www.oracle.com, 2023.</w:t>
      </w:r>
    </w:p>
    <w:p>
      <w:pPr>
        <w:spacing w:line="240" w:lineRule="auto" w:after="60"/>
        <w:ind w:firstLine="0"/>
        <w:jc w:val="left"/>
      </w:pPr>
      <w:r>
        <w:rPr>
          <w:rFonts w:ascii="宋体" w:hAnsi="宋体" w:eastAsia="宋体"/>
          <w:b w:val="0"/>
          <w:sz w:val="21"/>
        </w:rPr>
        <w:t>[7] 黄健宏. Redis设计与实现[M]. 北京: 机械工业出版社, 2014.</w:t>
      </w:r>
    </w:p>
    <w:p>
      <w:pPr>
        <w:spacing w:line="240" w:lineRule="auto" w:after="60"/>
        <w:ind w:firstLine="0"/>
        <w:jc w:val="left"/>
      </w:pPr>
      <w:r>
        <w:rPr>
          <w:rFonts w:ascii="宋体" w:hAnsi="宋体" w:eastAsia="宋体"/>
          <w:b w:val="0"/>
          <w:sz w:val="21"/>
        </w:rPr>
        <w:t>[8] 国家卫生健康委员会. 基层卫生人员培训管理办法[S]. 2020.</w:t>
      </w:r>
    </w:p>
    <w:p>
      <w:pPr>
        <w:spacing w:line="240" w:lineRule="auto" w:after="60"/>
        <w:ind w:firstLine="0"/>
        <w:jc w:val="left"/>
      </w:pPr>
      <w:r>
        <w:rPr>
          <w:rFonts w:ascii="宋体" w:hAnsi="宋体" w:eastAsia="宋体"/>
          <w:b w:val="0"/>
          <w:sz w:val="21"/>
        </w:rPr>
        <w:t>[9] 阿里巴巴集团. 阿里巴巴Java开发手册[M]. 北京: 电子工业出版社, 2020.</w:t>
      </w:r>
    </w:p>
    <w:p>
      <w:pPr>
        <w:spacing w:line="240" w:lineRule="auto" w:after="60"/>
        <w:ind w:firstLine="0"/>
        <w:jc w:val="left"/>
      </w:pPr>
      <w:r>
        <w:rPr>
          <w:rFonts w:ascii="宋体" w:hAnsi="宋体" w:eastAsia="宋体"/>
          <w:b w:val="0"/>
          <w:sz w:val="21"/>
        </w:rPr>
        <w:t>[10] 刘瑜. 基于MyBatis-Plus的持久层框架应用研究[J]. 计算机科学, 2022, 49(S1): 456-460.</w:t>
      </w:r>
    </w:p>
    <w:p>
      <w:pPr>
        <w:spacing w:line="240" w:lineRule="auto" w:after="60"/>
        <w:ind w:firstLine="0"/>
        <w:jc w:val="left"/>
      </w:pPr>
      <w:r>
        <w:rPr>
          <w:rFonts w:ascii="宋体" w:hAnsi="宋体" w:eastAsia="宋体"/>
          <w:b w:val="0"/>
          <w:sz w:val="21"/>
        </w:rPr>
        <w:t>[11] 赵静. 敏捷开发方法在小型项目中的应用实践[J]. 软件工程, 2021, 24(6): 34-38.</w:t>
      </w:r>
    </w:p>
    <w:p>
      <w:pPr>
        <w:spacing w:line="240" w:lineRule="auto" w:after="60"/>
        <w:ind w:firstLine="0"/>
        <w:jc w:val="left"/>
      </w:pPr>
      <w:r>
        <w:rPr>
          <w:rFonts w:ascii="宋体" w:hAnsi="宋体" w:eastAsia="宋体"/>
          <w:b w:val="0"/>
          <w:sz w:val="21"/>
        </w:rPr>
        <w:t>[12] 李明. 基于JWT的无状态认证机制研究[J]. 网络安全技术与应用, 2022(3): 89-91.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