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59" w:rsidRDefault="00C6423F" w:rsidP="00C6423F">
      <w:pPr>
        <w:pStyle w:val="Titre1"/>
        <w:jc w:val="center"/>
        <w:rPr>
          <w:b/>
          <w:sz w:val="44"/>
          <w:szCs w:val="44"/>
        </w:rPr>
      </w:pPr>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C6423F">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83092A">
      <w:pPr>
        <w:pStyle w:val="Paragraphedeliste"/>
        <w:numPr>
          <w:ilvl w:val="0"/>
          <w:numId w:val="1"/>
        </w:numPr>
      </w:pPr>
      <w:r>
        <w:t>Définition du langage</w:t>
      </w:r>
    </w:p>
    <w:p w:rsidR="0083092A" w:rsidRDefault="0083092A" w:rsidP="0083092A">
      <w:pPr>
        <w:pStyle w:val="Paragraphedeliste"/>
        <w:numPr>
          <w:ilvl w:val="0"/>
          <w:numId w:val="1"/>
        </w:numPr>
      </w:pPr>
      <w:r>
        <w:t>Définition de l’interprétation du langage</w:t>
      </w:r>
    </w:p>
    <w:p w:rsidR="0083092A" w:rsidRDefault="0083092A" w:rsidP="0083092A">
      <w:pPr>
        <w:pStyle w:val="Paragraphedeliste"/>
        <w:numPr>
          <w:ilvl w:val="0"/>
          <w:numId w:val="1"/>
        </w:numPr>
      </w:pPr>
      <w:r>
        <w:t>Modularité de ces définitions</w:t>
      </w:r>
    </w:p>
    <w:p w:rsidR="00630625" w:rsidRDefault="00A0093C" w:rsidP="00630625">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p>
    <w:p w:rsidR="009C05A1" w:rsidRDefault="00261D7A" w:rsidP="00261D7A">
      <w:pPr>
        <w:pStyle w:val="Titre1"/>
      </w:pPr>
      <w:r>
        <w:t>Le langage</w:t>
      </w:r>
    </w:p>
    <w:p w:rsidR="00261D7A" w:rsidRDefault="00261D7A" w:rsidP="00261D7A"/>
    <w:p w:rsidR="00261D7A" w:rsidRDefault="00261D7A" w:rsidP="00261D7A">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B31888">
        <w:t>en fournissant respectivemen</w:t>
      </w:r>
      <w:r w:rsidR="000D03ED">
        <w:t>t deux points pour la droite.</w:t>
      </w:r>
    </w:p>
    <w:p w:rsidR="00B31888" w:rsidRDefault="00B31888" w:rsidP="00261D7A">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261D7A">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AF6E60">
      <w:pPr>
        <w:pStyle w:val="Paragraphedeliste"/>
        <w:numPr>
          <w:ilvl w:val="0"/>
          <w:numId w:val="3"/>
        </w:numPr>
      </w:pPr>
      <w:r w:rsidRPr="005F3E69">
        <w:rPr>
          <w:b/>
        </w:rPr>
        <w:t>Ligne</w:t>
      </w:r>
      <w:r>
        <w:t> : traçant une droite entre deux points donnés en arguments dans l’instruction de l’utilisateur</w:t>
      </w:r>
    </w:p>
    <w:p w:rsidR="005F3E69" w:rsidRDefault="005F3E69" w:rsidP="00AF6E60">
      <w:pPr>
        <w:pStyle w:val="Paragraphedeliste"/>
        <w:numPr>
          <w:ilvl w:val="0"/>
          <w:numId w:val="3"/>
        </w:numPr>
      </w:pPr>
      <w:r w:rsidRPr="005F3E69">
        <w:rPr>
          <w:b/>
        </w:rPr>
        <w:t>Cercle</w:t>
      </w:r>
      <w:r>
        <w:t xml:space="preserve"> : </w:t>
      </w:r>
      <w:r w:rsidR="002A7B65">
        <w:t>représentant un cercle avec le centre et le rayon donnés en arguments dans l’instruction de l’utilisateur</w:t>
      </w:r>
    </w:p>
    <w:p w:rsidR="002A7B65" w:rsidRDefault="002A7B65" w:rsidP="00AF6E60">
      <w:pPr>
        <w:pStyle w:val="Paragraphedeliste"/>
        <w:numPr>
          <w:ilvl w:val="0"/>
          <w:numId w:val="3"/>
        </w:numPr>
      </w:pPr>
      <w:r>
        <w:rPr>
          <w:b/>
        </w:rPr>
        <w:t>Polygone </w:t>
      </w:r>
      <w:r w:rsidRPr="002A7B65">
        <w:t>:</w:t>
      </w:r>
      <w:r>
        <w:t xml:space="preserve"> </w:t>
      </w:r>
      <w:r w:rsidR="00295417">
        <w:t>dessinant un polygone avec le nombre de points et les coordonnées des points donnés par l’utilisateur</w:t>
      </w:r>
    </w:p>
    <w:p w:rsidR="00295417" w:rsidRDefault="00295417" w:rsidP="00AF6E60">
      <w:pPr>
        <w:pStyle w:val="Paragraphedeliste"/>
        <w:numPr>
          <w:ilvl w:val="0"/>
          <w:numId w:val="3"/>
        </w:numPr>
      </w:pPr>
      <w:r>
        <w:rPr>
          <w:b/>
        </w:rPr>
        <w:t>Rectangle </w:t>
      </w:r>
      <w:r w:rsidRPr="00295417">
        <w:t>:</w:t>
      </w:r>
      <w:r>
        <w:t xml:space="preserve"> traçant un rectangle avec un point (le point supérieur gauche), la longueur et la largeur donnés par l’utilisateur</w:t>
      </w:r>
    </w:p>
    <w:p w:rsidR="004C5880" w:rsidRDefault="004C5880" w:rsidP="00261D7A"/>
    <w:p w:rsidR="004C5880" w:rsidRDefault="004C5880" w:rsidP="004C5880">
      <w:pPr>
        <w:pStyle w:val="Titre1"/>
      </w:pPr>
      <w:r>
        <w:lastRenderedPageBreak/>
        <w:t>Modularité</w:t>
      </w:r>
    </w:p>
    <w:p w:rsidR="004C5880" w:rsidRDefault="004C5880" w:rsidP="004C5880"/>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t xml:space="preserve">que l’écriture de scripts par l’utilisateur et l’interprétation du langage devraient être </w:t>
      </w:r>
      <w:proofErr w:type="gramStart"/>
      <w:r w:rsidR="003909C4">
        <w:t>affranchies</w:t>
      </w:r>
      <w:proofErr w:type="gramEnd"/>
      <w:r w:rsidR="003909C4">
        <w:t xml:space="preserve">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forme géométrique particulière seront définis dans ces classes.</w:t>
      </w:r>
    </w:p>
    <w:p w:rsidR="00911BDC" w:rsidRDefault="00911BDC" w:rsidP="004C5880"/>
    <w:p w:rsidR="00911BDC" w:rsidRDefault="00911BDC" w:rsidP="00911BDC">
      <w:pPr>
        <w:pStyle w:val="Titre1"/>
      </w:pPr>
      <w:r>
        <w:t>Interprétation</w:t>
      </w:r>
    </w:p>
    <w:p w:rsidR="00630625" w:rsidRDefault="00630625" w:rsidP="00630625"/>
    <w:p w:rsidR="00630625" w:rsidRDefault="00B6700C" w:rsidP="00630625">
      <w:r>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Default="003F327B" w:rsidP="00630625">
      <w:r>
        <w:t xml:space="preserve">Ces instructions sont ensuite regroupées dans l’objet </w:t>
      </w:r>
      <w:r w:rsidR="000D03ED">
        <w:t>Script qui se charge</w:t>
      </w:r>
      <w:r>
        <w:t xml:space="preserve"> de les exécuter. </w:t>
      </w:r>
      <w:r w:rsidR="000D03ED">
        <w:t xml:space="preserve">Le résultat de </w:t>
      </w:r>
      <w:r>
        <w:t xml:space="preserve">cette exécution </w:t>
      </w:r>
      <w:r w:rsidR="000D03ED">
        <w:t>est stocké dans l’objet Dessin</w:t>
      </w:r>
      <w:r>
        <w:t xml:space="preserve">, c’est-à-dire </w:t>
      </w:r>
      <w:r w:rsidR="000D03ED">
        <w:t>l’ensemble des formes et de leurs caractéristiques (couleur, taille…)</w:t>
      </w:r>
      <w:r>
        <w:t xml:space="preserve">. </w:t>
      </w:r>
      <w:r w:rsidR="001A06F8">
        <w:t xml:space="preserve"> Ce dessin peut ensuite être interprété à l’aide d’un interpréteur. Un interpréteur SVG qui traduit le dessin en un fichier </w:t>
      </w:r>
      <w:proofErr w:type="spellStart"/>
      <w:r w:rsidR="001A06F8">
        <w:t>svg</w:t>
      </w:r>
      <w:proofErr w:type="spellEnd"/>
      <w:r w:rsidR="001A06F8">
        <w:t xml:space="preserve"> est généré a été implémenté. Cependant il est possible d’implémenter d’autres interpréteurs</w:t>
      </w:r>
      <w:bookmarkStart w:id="0" w:name="_GoBack"/>
      <w:bookmarkEnd w:id="0"/>
      <w:r w:rsidR="001A06F8">
        <w:t xml:space="preserve"> pour visualiser le dessin créé par le script. </w:t>
      </w:r>
      <w:r>
        <w:t>L’interpréteur est alors très important dans ce processus de dessin vectoriel, c’est en fait lui qui fait que notre langage soit compréhensible et traductible en une suite de commandes logiques pouvant désormais être tracées et visionnées par n’importe quel logi</w:t>
      </w:r>
      <w:r w:rsidR="00085BBE">
        <w:t xml:space="preserve">ciel pouvant lire le format </w:t>
      </w:r>
      <w:proofErr w:type="spellStart"/>
      <w:r w:rsidR="00085BBE">
        <w:t>svg</w:t>
      </w:r>
      <w:proofErr w:type="spellEnd"/>
      <w:r w:rsidR="00085BBE">
        <w:t>, typiquement les navigateurs web.</w:t>
      </w:r>
    </w:p>
    <w:p w:rsidR="00085BBE" w:rsidRDefault="00085BBE" w:rsidP="00630625">
      <w:r>
        <w:t>En ce qui nous concerne, l’interprétation du langage se fait par une reconnaissance des instructions. Lorsque l’utilisateur aura écrit et validé son script pour exécution, on va parcourir l’ensemble du script, instruction par instruction pour les traiter. Pour chaque instruction, l’interpréteur regardera de quelle forme il s’agit et récupère l’ensemble des arguments donnés par l’utilisateur.</w:t>
      </w:r>
      <w:r w:rsidR="00273BFB">
        <w:t xml:space="preserve"> Une fois la </w:t>
      </w:r>
      <w:r w:rsidR="00273BFB">
        <w:lastRenderedPageBreak/>
        <w:t xml:space="preserve">forme déterminée, il procédera alors au « tracé » de cette forme avec les commandes </w:t>
      </w:r>
      <w:proofErr w:type="spellStart"/>
      <w:r w:rsidR="00273BFB">
        <w:t>svg</w:t>
      </w:r>
      <w:proofErr w:type="spellEnd"/>
      <w:r w:rsidR="00273BFB">
        <w:t xml:space="preserve"> adéquates en fournissant les données de l’utilisateur.</w:t>
      </w:r>
    </w:p>
    <w:p w:rsidR="00273BFB" w:rsidRDefault="00273BFB" w:rsidP="00630625">
      <w:r>
        <w:t>Pour les alternatives et les boucles qui constituent également des instructions, l’interprétation est la même</w:t>
      </w:r>
      <w:r w:rsidR="00C77735">
        <w:t>. Une fois la commande FOR ou IF reconnue, les instructions contenues dans ces commandes seront selon le répétées, testées selon un critère ou ignorées.</w:t>
      </w:r>
    </w:p>
    <w:p w:rsidR="003F6E32" w:rsidRPr="00630625" w:rsidRDefault="003F6E32" w:rsidP="00630625">
      <w:r>
        <w:t>En définitive, la fin de l’exécution du script donnera lieu à un fichier au format .</w:t>
      </w:r>
      <w:proofErr w:type="spellStart"/>
      <w:r>
        <w:t>svg</w:t>
      </w:r>
      <w:proofErr w:type="spellEnd"/>
      <w:r>
        <w:t xml:space="preserve"> contenant toutes les instructions du dessin. Vient alors la deuxième phase de l’interprétation qui est l’exécution du fichier </w:t>
      </w:r>
      <w:proofErr w:type="spellStart"/>
      <w:r>
        <w:t>svg</w:t>
      </w:r>
      <w:proofErr w:type="spellEnd"/>
      <w:r>
        <w:t xml:space="preserve"> pour avoir un rendu graphique du dessin</w:t>
      </w:r>
      <w:r w:rsidR="00134B2C">
        <w:t xml:space="preserve">. La visualisation de ce fichier peut se faire avec l’aide de navigateurs comme </w:t>
      </w:r>
      <w:r w:rsidR="00134B2C" w:rsidRPr="00134B2C">
        <w:rPr>
          <w:b/>
        </w:rPr>
        <w:t>Firefox</w:t>
      </w:r>
      <w:r w:rsidR="00134B2C">
        <w:t xml:space="preserve"> ou </w:t>
      </w:r>
      <w:r w:rsidR="00134B2C" w:rsidRPr="00134B2C">
        <w:rPr>
          <w:b/>
        </w:rPr>
        <w:t>IE</w:t>
      </w:r>
      <w:r w:rsidR="00134B2C">
        <w:t>.</w:t>
      </w:r>
    </w:p>
    <w:p w:rsidR="00911BDC" w:rsidRDefault="00911BDC" w:rsidP="00911BDC"/>
    <w:p w:rsidR="00911BDC" w:rsidRPr="00911BDC" w:rsidRDefault="00911BDC" w:rsidP="00911BDC"/>
    <w:sectPr w:rsidR="00911BDC" w:rsidRPr="00911BD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621" w:rsidRDefault="009F2621" w:rsidP="00C6423F">
      <w:pPr>
        <w:spacing w:after="0" w:line="240" w:lineRule="auto"/>
      </w:pPr>
      <w:r>
        <w:separator/>
      </w:r>
    </w:p>
  </w:endnote>
  <w:endnote w:type="continuationSeparator" w:id="0">
    <w:p w:rsidR="009F2621" w:rsidRDefault="009F2621"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621" w:rsidRDefault="009F2621" w:rsidP="00C6423F">
      <w:pPr>
        <w:spacing w:after="0" w:line="240" w:lineRule="auto"/>
      </w:pPr>
      <w:r>
        <w:separator/>
      </w:r>
    </w:p>
  </w:footnote>
  <w:footnote w:type="continuationSeparator" w:id="0">
    <w:p w:rsidR="009F2621" w:rsidRDefault="009F2621"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66"/>
    <w:rsid w:val="00044C06"/>
    <w:rsid w:val="00085BBE"/>
    <w:rsid w:val="000D03ED"/>
    <w:rsid w:val="00134B2C"/>
    <w:rsid w:val="001A06F8"/>
    <w:rsid w:val="00261D7A"/>
    <w:rsid w:val="00273BFB"/>
    <w:rsid w:val="00295417"/>
    <w:rsid w:val="002A7B65"/>
    <w:rsid w:val="002D7A25"/>
    <w:rsid w:val="00343BF1"/>
    <w:rsid w:val="003909C4"/>
    <w:rsid w:val="003F327B"/>
    <w:rsid w:val="003F6E32"/>
    <w:rsid w:val="004C5880"/>
    <w:rsid w:val="005F3E69"/>
    <w:rsid w:val="00630625"/>
    <w:rsid w:val="006E1C66"/>
    <w:rsid w:val="00727815"/>
    <w:rsid w:val="007F50C2"/>
    <w:rsid w:val="0083092A"/>
    <w:rsid w:val="00860BE0"/>
    <w:rsid w:val="00911BDC"/>
    <w:rsid w:val="0098027E"/>
    <w:rsid w:val="009C05A1"/>
    <w:rsid w:val="009F2621"/>
    <w:rsid w:val="00A0093C"/>
    <w:rsid w:val="00AF6E60"/>
    <w:rsid w:val="00B31888"/>
    <w:rsid w:val="00B6700C"/>
    <w:rsid w:val="00BE4C2B"/>
    <w:rsid w:val="00C51209"/>
    <w:rsid w:val="00C6423F"/>
    <w:rsid w:val="00C77159"/>
    <w:rsid w:val="00C77735"/>
    <w:rsid w:val="00CD2727"/>
    <w:rsid w:val="00D73D46"/>
    <w:rsid w:val="00ED799F"/>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948</Words>
  <Characters>5216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Quinto</cp:lastModifiedBy>
  <cp:revision>32</cp:revision>
  <dcterms:created xsi:type="dcterms:W3CDTF">2014-11-12T21:35:00Z</dcterms:created>
  <dcterms:modified xsi:type="dcterms:W3CDTF">2014-11-13T01:32:00Z</dcterms:modified>
</cp:coreProperties>
</file>