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95" w:rsidRDefault="00537695" w:rsidP="00537695">
      <w:pPr>
        <w:rPr>
          <w:rFonts w:hint="eastAsia"/>
        </w:rPr>
      </w:pPr>
      <w:r>
        <w:rPr>
          <w:rFonts w:hint="eastAsia"/>
        </w:rPr>
        <w:t>本文首先簡要介紹了</w:t>
      </w:r>
      <w:r>
        <w:rPr>
          <w:rFonts w:hint="eastAsia"/>
          <w:lang w:eastAsia="zh-TW"/>
        </w:rPr>
        <w:t>Basel III</w:t>
      </w:r>
      <w:r>
        <w:rPr>
          <w:rFonts w:hint="eastAsia"/>
        </w:rPr>
        <w:t>的框架，然後分別討論了對於信用風險、市場風險和操作風險的</w:t>
      </w:r>
      <w:r>
        <w:rPr>
          <w:rFonts w:hint="eastAsia"/>
          <w:lang w:eastAsia="zh-TW"/>
        </w:rPr>
        <w:t>RWA(Risk-weighted Assets)</w:t>
      </w:r>
      <w:r>
        <w:rPr>
          <w:rFonts w:hint="eastAsia"/>
        </w:rPr>
        <w:t>的計算。</w:t>
      </w:r>
    </w:p>
    <w:p w:rsidR="00537695" w:rsidRDefault="00537695" w:rsidP="00537695"/>
    <w:p w:rsidR="00537695" w:rsidRPr="00537695" w:rsidRDefault="00537695" w:rsidP="00537695">
      <w:pPr>
        <w:rPr>
          <w:rFonts w:hint="eastAsia"/>
          <w:b/>
          <w:lang w:eastAsia="zh-TW"/>
        </w:rPr>
      </w:pPr>
      <w:r w:rsidRPr="00537695">
        <w:rPr>
          <w:rFonts w:hint="eastAsia"/>
          <w:b/>
        </w:rPr>
        <w:t>一、</w:t>
      </w:r>
      <w:r w:rsidRPr="00537695">
        <w:rPr>
          <w:rFonts w:hint="eastAsia"/>
          <w:b/>
          <w:lang w:eastAsia="zh-TW"/>
        </w:rPr>
        <w:t>BCBS</w:t>
      </w:r>
      <w:r w:rsidRPr="00537695">
        <w:rPr>
          <w:rFonts w:hint="eastAsia"/>
          <w:b/>
        </w:rPr>
        <w:t>簡介</w:t>
      </w:r>
    </w:p>
    <w:p w:rsidR="00537695" w:rsidRDefault="00537695" w:rsidP="00537695">
      <w:pPr>
        <w:ind w:firstLine="240"/>
        <w:rPr>
          <w:rFonts w:hint="eastAsia"/>
          <w:lang w:eastAsia="zh-TW"/>
        </w:rPr>
      </w:pPr>
      <w:r>
        <w:rPr>
          <w:rFonts w:hint="eastAsia"/>
          <w:lang w:eastAsia="zh-TW"/>
        </w:rPr>
        <w:t>Basel Committee on Banking Supervision (BCBS)</w:t>
      </w:r>
      <w:r>
        <w:rPr>
          <w:rFonts w:hint="eastAsia"/>
        </w:rPr>
        <w:t>銀行監管巴塞爾協會是一個銀行業合規的全球主要標準制定者，它提供了關於銀行業監管合規方面的研討會機制，擁有來自</w:t>
      </w:r>
      <w:r>
        <w:rPr>
          <w:rFonts w:hint="eastAsia"/>
          <w:lang w:eastAsia="zh-TW"/>
        </w:rPr>
        <w:t>28</w:t>
      </w:r>
      <w:r>
        <w:rPr>
          <w:rFonts w:hint="eastAsia"/>
        </w:rPr>
        <w:t>個管轄區的</w:t>
      </w:r>
      <w:r>
        <w:rPr>
          <w:rFonts w:hint="eastAsia"/>
          <w:lang w:eastAsia="zh-TW"/>
        </w:rPr>
        <w:t>45</w:t>
      </w:r>
      <w:r>
        <w:rPr>
          <w:rFonts w:hint="eastAsia"/>
        </w:rPr>
        <w:t>個成員包括央行和監管機構。</w:t>
      </w:r>
    </w:p>
    <w:p w:rsidR="00537695" w:rsidRDefault="00537695" w:rsidP="00537695">
      <w:pPr>
        <w:ind w:firstLine="240"/>
      </w:pPr>
      <w:r>
        <w:rPr>
          <w:rFonts w:hint="eastAsia"/>
          <w:lang w:eastAsia="zh-TW"/>
        </w:rPr>
        <w:t>BCBS</w:t>
      </w:r>
      <w:r>
        <w:rPr>
          <w:rFonts w:hint="eastAsia"/>
        </w:rPr>
        <w:t>指定了一系列章程和規範以提高監管力度，控制金融市場的風險，它具有非常嚴謹的組織機構和管理制度。本文的主要內容</w:t>
      </w:r>
      <w:r>
        <w:rPr>
          <w:rFonts w:hint="eastAsia"/>
          <w:lang w:eastAsia="zh-TW"/>
        </w:rPr>
        <w:t>Basel III</w:t>
      </w:r>
      <w:r>
        <w:rPr>
          <w:rFonts w:hint="eastAsia"/>
        </w:rPr>
        <w:t>是在</w:t>
      </w:r>
      <w:r>
        <w:rPr>
          <w:rFonts w:hint="eastAsia"/>
          <w:lang w:eastAsia="zh-TW"/>
        </w:rPr>
        <w:t>2007~2009</w:t>
      </w:r>
      <w:r>
        <w:rPr>
          <w:rFonts w:hint="eastAsia"/>
        </w:rPr>
        <w:t>年金融危機後，</w:t>
      </w:r>
      <w:r>
        <w:rPr>
          <w:rFonts w:hint="eastAsia"/>
          <w:lang w:eastAsia="zh-TW"/>
        </w:rPr>
        <w:t>BCBS</w:t>
      </w:r>
      <w:r>
        <w:rPr>
          <w:rFonts w:hint="eastAsia"/>
        </w:rPr>
        <w:t>所開發的一套國際認同的標準，其目的是為了加強銀行業的合規、監管和風險管理。類似於其他巴塞爾委員會標準，</w:t>
      </w:r>
      <w:r>
        <w:rPr>
          <w:rFonts w:hint="eastAsia"/>
          <w:lang w:eastAsia="zh-TW"/>
        </w:rPr>
        <w:t xml:space="preserve">Basel III </w:t>
      </w:r>
      <w:r>
        <w:rPr>
          <w:rFonts w:hint="eastAsia"/>
        </w:rPr>
        <w:t>是國際銀行所應遵循的最小需求集。</w:t>
      </w:r>
    </w:p>
    <w:p w:rsidR="00537695" w:rsidRDefault="00537695" w:rsidP="00537695">
      <w:pPr>
        <w:ind w:firstLine="240"/>
        <w:rPr>
          <w:rFonts w:hint="eastAsia"/>
        </w:rPr>
      </w:pPr>
    </w:p>
    <w:p w:rsidR="00537695" w:rsidRPr="00537695" w:rsidRDefault="00537695" w:rsidP="00537695">
      <w:pPr>
        <w:spacing w:line="240" w:lineRule="auto"/>
        <w:rPr>
          <w:rFonts w:ascii="宋体" w:hAnsi="宋体" w:cs="宋体"/>
        </w:rPr>
      </w:pPr>
      <w:r w:rsidRPr="00537695">
        <w:rPr>
          <w:rFonts w:ascii="宋体" w:hAnsi="宋体" w:cs="宋体"/>
        </w:rPr>
        <w:fldChar w:fldCharType="begin"/>
      </w:r>
      <w:r w:rsidRPr="00537695">
        <w:rPr>
          <w:rFonts w:ascii="宋体" w:hAnsi="宋体" w:cs="宋体"/>
        </w:rPr>
        <w:instrText xml:space="preserve"> INCLUDEPICTURE "/var/folders/rs/cz9gws4d2fx_25qy4qj4kmhc0000gn/T/com.microsoft.Word/WebArchiveCopyPasteTempFiles/watermark,type_ZmFuZ3poZW5naGVpdGk,shadow_10,text_aHR0cHM6Ly9ibG9nLmNzZG4ubmV0L3dlaXhpbl80MzE3MTI3MA==,size_16,color_FFFFFF,t_70" \* MERGEFORMATINET </w:instrText>
      </w:r>
      <w:r w:rsidRPr="00537695">
        <w:rPr>
          <w:rFonts w:ascii="宋体" w:hAnsi="宋体" w:cs="宋体"/>
        </w:rPr>
        <w:fldChar w:fldCharType="separate"/>
      </w:r>
      <w:r w:rsidRPr="00537695">
        <w:rPr>
          <w:rFonts w:ascii="宋体" w:hAnsi="宋体" w:cs="宋体"/>
          <w:noProof/>
        </w:rPr>
        <w:drawing>
          <wp:inline distT="0" distB="0" distL="0" distR="0">
            <wp:extent cx="5270500" cy="3081020"/>
            <wp:effectExtent l="0" t="0" r="0" b="508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81020"/>
                    </a:xfrm>
                    <a:prstGeom prst="rect">
                      <a:avLst/>
                    </a:prstGeom>
                    <a:noFill/>
                    <a:ln>
                      <a:noFill/>
                    </a:ln>
                  </pic:spPr>
                </pic:pic>
              </a:graphicData>
            </a:graphic>
          </wp:inline>
        </w:drawing>
      </w:r>
      <w:r w:rsidRPr="00537695">
        <w:rPr>
          <w:rFonts w:ascii="宋体" w:hAnsi="宋体" w:cs="宋体"/>
        </w:rPr>
        <w:fldChar w:fldCharType="end"/>
      </w:r>
    </w:p>
    <w:p w:rsidR="00537695" w:rsidRDefault="00537695" w:rsidP="00537695">
      <w:pPr>
        <w:jc w:val="center"/>
        <w:rPr>
          <w:rFonts w:hint="eastAsia"/>
        </w:rPr>
      </w:pPr>
      <w:r>
        <w:rPr>
          <w:rFonts w:hint="eastAsia"/>
        </w:rPr>
        <w:t>Basel Framework</w:t>
      </w:r>
    </w:p>
    <w:p w:rsidR="00537695" w:rsidRDefault="00537695" w:rsidP="00537695"/>
    <w:p w:rsidR="00537695" w:rsidRPr="00537695" w:rsidRDefault="00537695" w:rsidP="00537695">
      <w:pPr>
        <w:rPr>
          <w:rFonts w:hint="eastAsia"/>
          <w:b/>
        </w:rPr>
      </w:pPr>
      <w:r w:rsidRPr="00537695">
        <w:rPr>
          <w:rFonts w:hint="eastAsia"/>
          <w:b/>
        </w:rPr>
        <w:t>二</w:t>
      </w:r>
      <w:r w:rsidRPr="00537695">
        <w:rPr>
          <w:rFonts w:hint="eastAsia"/>
          <w:b/>
          <w:lang w:eastAsia="zh-TW"/>
        </w:rPr>
        <w:t>、</w:t>
      </w:r>
      <w:r w:rsidRPr="00537695">
        <w:rPr>
          <w:rFonts w:hint="eastAsia"/>
          <w:b/>
        </w:rPr>
        <w:t xml:space="preserve">CRE </w:t>
      </w:r>
      <w:r w:rsidRPr="00537695">
        <w:rPr>
          <w:rFonts w:hint="eastAsia"/>
          <w:b/>
        </w:rPr>
        <w:t>–</w:t>
      </w:r>
      <w:r w:rsidRPr="00537695">
        <w:rPr>
          <w:rFonts w:hint="eastAsia"/>
          <w:b/>
        </w:rPr>
        <w:t xml:space="preserve"> Calculation of RWA for credit risk</w:t>
      </w:r>
    </w:p>
    <w:p w:rsidR="00537695" w:rsidRDefault="00537695" w:rsidP="00537695">
      <w:pPr>
        <w:ind w:firstLine="240"/>
        <w:rPr>
          <w:rFonts w:hint="eastAsia"/>
          <w:lang w:eastAsia="zh-TW"/>
        </w:rPr>
      </w:pPr>
      <w:r>
        <w:rPr>
          <w:rFonts w:hint="eastAsia"/>
          <w:lang w:eastAsia="zh-TW"/>
        </w:rPr>
        <w:t xml:space="preserve">Basel III </w:t>
      </w:r>
      <w:r>
        <w:rPr>
          <w:rFonts w:hint="eastAsia"/>
          <w:lang w:eastAsia="zh-TW"/>
        </w:rPr>
        <w:t>中的</w:t>
      </w:r>
      <w:r>
        <w:rPr>
          <w:rFonts w:hint="eastAsia"/>
          <w:lang w:eastAsia="zh-TW"/>
        </w:rPr>
        <w:t>CRE</w:t>
      </w:r>
      <w:r>
        <w:rPr>
          <w:rFonts w:hint="eastAsia"/>
          <w:lang w:eastAsia="zh-TW"/>
        </w:rPr>
        <w:t>主要討論如何計算信用風險的</w:t>
      </w:r>
      <w:r>
        <w:rPr>
          <w:rFonts w:hint="eastAsia"/>
          <w:lang w:eastAsia="zh-TW"/>
        </w:rPr>
        <w:t>RWA</w:t>
      </w:r>
      <w:r>
        <w:rPr>
          <w:rFonts w:hint="eastAsia"/>
          <w:lang w:eastAsia="zh-TW"/>
        </w:rPr>
        <w:t>，首先我們介紹一下</w:t>
      </w:r>
      <w:r>
        <w:rPr>
          <w:rFonts w:hint="eastAsia"/>
          <w:lang w:eastAsia="zh-TW"/>
        </w:rPr>
        <w:t>RWA</w:t>
      </w:r>
      <w:r>
        <w:rPr>
          <w:rFonts w:hint="eastAsia"/>
          <w:lang w:eastAsia="zh-TW"/>
        </w:rPr>
        <w:t>的概念。</w:t>
      </w:r>
      <w:r>
        <w:rPr>
          <w:rFonts w:hint="eastAsia"/>
          <w:lang w:eastAsia="zh-TW"/>
        </w:rPr>
        <w:t>RWA (Risk-Weighted Assets)</w:t>
      </w:r>
      <w:r>
        <w:rPr>
          <w:rFonts w:hint="eastAsia"/>
          <w:lang w:eastAsia="zh-TW"/>
        </w:rPr>
        <w:t>，即風險權重資產，是用來確定銀行或其他金融機構所持有的最小額度資產，以降低無力償債的風險；其資本需求主要是基於對各類銀行資產的風險評估。舉例來說，信用證貸款比有抵押物的按揭貸款更有風險。</w:t>
      </w:r>
    </w:p>
    <w:p w:rsidR="00537695" w:rsidRDefault="00537695" w:rsidP="00537695">
      <w:pPr>
        <w:rPr>
          <w:rFonts w:hint="eastAsia"/>
        </w:rPr>
      </w:pPr>
      <w:r>
        <w:rPr>
          <w:rFonts w:hint="eastAsia"/>
        </w:rPr>
        <w:lastRenderedPageBreak/>
        <w:t>   </w:t>
      </w:r>
      <w:r>
        <w:rPr>
          <w:rFonts w:hint="eastAsia"/>
          <w:lang w:eastAsia="zh-TW"/>
        </w:rPr>
        <w:t> CRE</w:t>
      </w:r>
      <w:r>
        <w:rPr>
          <w:rFonts w:hint="eastAsia"/>
        </w:rPr>
        <w:t>重點介紹了兩類方法：</w:t>
      </w:r>
      <w:r>
        <w:rPr>
          <w:rFonts w:hint="eastAsia"/>
          <w:lang w:eastAsia="zh-TW"/>
        </w:rPr>
        <w:t>Standardized</w:t>
      </w:r>
      <w:r>
        <w:rPr>
          <w:rFonts w:hint="eastAsia"/>
        </w:rPr>
        <w:t>（標準化方法）和</w:t>
      </w:r>
      <w:r>
        <w:rPr>
          <w:rFonts w:hint="eastAsia"/>
          <w:lang w:eastAsia="zh-TW"/>
        </w:rPr>
        <w:t xml:space="preserve"> IRB (Internal-Rating based)</w:t>
      </w:r>
      <w:r>
        <w:rPr>
          <w:rFonts w:hint="eastAsia"/>
        </w:rPr>
        <w:t>方法，主要針對個體、證卷化、合約方的風險敞口。銀行可以使用由國家監管部門認可的外部信用評估機構的評估結果；也可以使用其內部信用評級系統來計算信用風險，當然必須得到銀行監管者的核准。</w:t>
      </w:r>
    </w:p>
    <w:p w:rsidR="00537695" w:rsidRDefault="00537695" w:rsidP="00537695">
      <w:pPr>
        <w:pStyle w:val="a3"/>
        <w:numPr>
          <w:ilvl w:val="0"/>
          <w:numId w:val="1"/>
        </w:numPr>
        <w:ind w:firstLineChars="0"/>
        <w:rPr>
          <w:rFonts w:hint="eastAsia"/>
          <w:lang w:eastAsia="zh-TW"/>
        </w:rPr>
      </w:pPr>
      <w:r>
        <w:rPr>
          <w:rFonts w:hint="eastAsia"/>
          <w:lang w:eastAsia="zh-TW"/>
        </w:rPr>
        <w:t>Standardized Approach (</w:t>
      </w:r>
      <w:r>
        <w:rPr>
          <w:rFonts w:hint="eastAsia"/>
        </w:rPr>
        <w:t>標準化方法</w:t>
      </w:r>
      <w:r>
        <w:rPr>
          <w:rFonts w:hint="eastAsia"/>
          <w:lang w:eastAsia="zh-TW"/>
        </w:rPr>
        <w:t>)</w:t>
      </w:r>
    </w:p>
    <w:p w:rsidR="00537695" w:rsidRDefault="00537695" w:rsidP="00537695">
      <w:pPr>
        <w:ind w:firstLine="240"/>
        <w:rPr>
          <w:rFonts w:hint="eastAsia"/>
          <w:lang w:eastAsia="zh-TW"/>
        </w:rPr>
      </w:pPr>
      <w:r>
        <w:rPr>
          <w:rFonts w:hint="eastAsia"/>
          <w:lang w:eastAsia="zh-TW"/>
        </w:rPr>
        <w:t>在標準化方法中，</w:t>
      </w:r>
      <w:r>
        <w:rPr>
          <w:rFonts w:hint="eastAsia"/>
          <w:lang w:eastAsia="zh-TW"/>
        </w:rPr>
        <w:t>RWA</w:t>
      </w:r>
      <w:r>
        <w:rPr>
          <w:rFonts w:hint="eastAsia"/>
          <w:lang w:eastAsia="zh-TW"/>
        </w:rPr>
        <w:t>就等於標準化的風險權重乘以風險敞口量。</w:t>
      </w:r>
      <w:r>
        <w:rPr>
          <w:rFonts w:hint="eastAsia"/>
        </w:rPr>
        <w:t>規範了對多種個體機構的加權方法，包括主權政府部門、非中央政府公共行業實體、多邊發展銀行、證券公司、企業等。</w:t>
      </w:r>
    </w:p>
    <w:p w:rsidR="00537695" w:rsidRDefault="00537695" w:rsidP="00537695">
      <w:pPr>
        <w:pStyle w:val="a3"/>
        <w:numPr>
          <w:ilvl w:val="0"/>
          <w:numId w:val="1"/>
        </w:numPr>
        <w:ind w:firstLineChars="0"/>
        <w:rPr>
          <w:rFonts w:hint="eastAsia"/>
          <w:lang w:eastAsia="zh-TW"/>
        </w:rPr>
      </w:pPr>
      <w:r>
        <w:rPr>
          <w:rFonts w:hint="eastAsia"/>
          <w:lang w:eastAsia="zh-TW"/>
        </w:rPr>
        <w:t>Internal-Rating based</w:t>
      </w:r>
    </w:p>
    <w:p w:rsidR="00537695" w:rsidRDefault="00537695" w:rsidP="00537695">
      <w:pPr>
        <w:ind w:firstLine="240"/>
        <w:rPr>
          <w:rFonts w:hint="eastAsia"/>
          <w:lang w:eastAsia="zh-TW"/>
        </w:rPr>
      </w:pPr>
      <w:r>
        <w:rPr>
          <w:rFonts w:hint="eastAsia"/>
          <w:lang w:eastAsia="zh-TW"/>
        </w:rPr>
        <w:t>在滿足一定條件和披露需求後，銀行可以在監管部門許可下採用內部評級系統來定義風險評級。</w:t>
      </w:r>
      <w:r>
        <w:rPr>
          <w:rFonts w:hint="eastAsia"/>
          <w:lang w:eastAsia="zh-TW"/>
        </w:rPr>
        <w:t>IRB</w:t>
      </w:r>
      <w:r>
        <w:rPr>
          <w:rFonts w:hint="eastAsia"/>
        </w:rPr>
        <w:t>方法定義風險組成成分為違約概率（</w:t>
      </w:r>
      <w:r>
        <w:rPr>
          <w:rFonts w:hint="eastAsia"/>
          <w:lang w:eastAsia="zh-TW"/>
        </w:rPr>
        <w:t>PD</w:t>
      </w:r>
      <w:r>
        <w:rPr>
          <w:rFonts w:hint="eastAsia"/>
        </w:rPr>
        <w:t>，</w:t>
      </w:r>
      <w:r>
        <w:rPr>
          <w:rFonts w:hint="eastAsia"/>
          <w:lang w:eastAsia="zh-TW"/>
        </w:rPr>
        <w:t>Probability of Default</w:t>
      </w:r>
      <w:r>
        <w:rPr>
          <w:rFonts w:hint="eastAsia"/>
        </w:rPr>
        <w:t>），違約損失率（</w:t>
      </w:r>
      <w:r>
        <w:rPr>
          <w:rFonts w:hint="eastAsia"/>
          <w:lang w:eastAsia="zh-TW"/>
        </w:rPr>
        <w:t>LGD</w:t>
      </w:r>
      <w:r>
        <w:rPr>
          <w:rFonts w:hint="eastAsia"/>
        </w:rPr>
        <w:t>，</w:t>
      </w:r>
      <w:r>
        <w:rPr>
          <w:rFonts w:hint="eastAsia"/>
          <w:lang w:eastAsia="zh-TW"/>
        </w:rPr>
        <w:t>Loss Given Default</w:t>
      </w:r>
      <w:r>
        <w:rPr>
          <w:rFonts w:hint="eastAsia"/>
        </w:rPr>
        <w:t>），違約風險敞口</w:t>
      </w:r>
      <w:r>
        <w:rPr>
          <w:rFonts w:hint="eastAsia"/>
          <w:lang w:eastAsia="zh-TW"/>
        </w:rPr>
        <w:t>(EAD</w:t>
      </w:r>
      <w:r>
        <w:rPr>
          <w:rFonts w:hint="eastAsia"/>
        </w:rPr>
        <w:t>，</w:t>
      </w:r>
      <w:r>
        <w:rPr>
          <w:rFonts w:hint="eastAsia"/>
          <w:lang w:eastAsia="zh-TW"/>
        </w:rPr>
        <w:t>Exposure at Default)</w:t>
      </w:r>
      <w:r>
        <w:rPr>
          <w:rFonts w:hint="eastAsia"/>
        </w:rPr>
        <w:t>，有效期限</w:t>
      </w:r>
      <w:r>
        <w:rPr>
          <w:rFonts w:hint="eastAsia"/>
          <w:lang w:eastAsia="zh-TW"/>
        </w:rPr>
        <w:t>(Effective Maturity, M)</w:t>
      </w:r>
      <w:r>
        <w:rPr>
          <w:rFonts w:hint="eastAsia"/>
        </w:rPr>
        <w:t>。</w:t>
      </w:r>
    </w:p>
    <w:p w:rsidR="00537695" w:rsidRDefault="00537695" w:rsidP="00537695">
      <w:pPr>
        <w:rPr>
          <w:rFonts w:hint="eastAsia"/>
        </w:rPr>
      </w:pPr>
      <w:r>
        <w:rPr>
          <w:rFonts w:hint="eastAsia"/>
          <w:lang w:eastAsia="zh-TW"/>
        </w:rPr>
        <w:t>    IRB</w:t>
      </w:r>
      <w:r>
        <w:rPr>
          <w:rFonts w:hint="eastAsia"/>
        </w:rPr>
        <w:t>方法是基於預期損失和非預期損失，</w:t>
      </w:r>
      <w:r>
        <w:rPr>
          <w:rFonts w:hint="eastAsia"/>
          <w:lang w:eastAsia="zh-TW"/>
        </w:rPr>
        <w:t>RWA</w:t>
      </w:r>
      <w:r>
        <w:rPr>
          <w:rFonts w:hint="eastAsia"/>
        </w:rPr>
        <w:t>的導出依賴於對</w:t>
      </w:r>
      <w:r>
        <w:rPr>
          <w:rFonts w:hint="eastAsia"/>
          <w:lang w:eastAsia="zh-TW"/>
        </w:rPr>
        <w:t>PD</w:t>
      </w:r>
      <w:r>
        <w:rPr>
          <w:rFonts w:hint="eastAsia"/>
        </w:rPr>
        <w:t>，</w:t>
      </w:r>
      <w:r>
        <w:rPr>
          <w:rFonts w:hint="eastAsia"/>
          <w:lang w:eastAsia="zh-TW"/>
        </w:rPr>
        <w:t>LGD</w:t>
      </w:r>
      <w:r>
        <w:rPr>
          <w:rFonts w:hint="eastAsia"/>
        </w:rPr>
        <w:t>，</w:t>
      </w:r>
      <w:r>
        <w:rPr>
          <w:rFonts w:hint="eastAsia"/>
          <w:lang w:eastAsia="zh-TW"/>
        </w:rPr>
        <w:t>EAD</w:t>
      </w:r>
      <w:r>
        <w:rPr>
          <w:rFonts w:hint="eastAsia"/>
        </w:rPr>
        <w:t>和</w:t>
      </w:r>
      <w:r>
        <w:rPr>
          <w:rFonts w:hint="eastAsia"/>
          <w:lang w:eastAsia="zh-TW"/>
        </w:rPr>
        <w:t>M</w:t>
      </w:r>
      <w:r>
        <w:rPr>
          <w:rFonts w:hint="eastAsia"/>
        </w:rPr>
        <w:t>的估算，對多種個體機構會有所不同。</w:t>
      </w:r>
    </w:p>
    <w:p w:rsidR="00537695" w:rsidRDefault="00537695" w:rsidP="00537695"/>
    <w:p w:rsidR="00537695" w:rsidRPr="00537695" w:rsidRDefault="00537695" w:rsidP="00537695">
      <w:pPr>
        <w:rPr>
          <w:rFonts w:hint="eastAsia"/>
          <w:b/>
        </w:rPr>
      </w:pPr>
      <w:r w:rsidRPr="00537695">
        <w:rPr>
          <w:rFonts w:hint="eastAsia"/>
          <w:b/>
        </w:rPr>
        <w:t>三</w:t>
      </w:r>
      <w:r w:rsidRPr="00537695">
        <w:rPr>
          <w:rFonts w:hint="eastAsia"/>
          <w:b/>
          <w:lang w:eastAsia="zh-TW"/>
        </w:rPr>
        <w:t>、</w:t>
      </w:r>
      <w:r w:rsidRPr="00537695">
        <w:rPr>
          <w:rFonts w:hint="eastAsia"/>
          <w:b/>
        </w:rPr>
        <w:t xml:space="preserve">MAR </w:t>
      </w:r>
      <w:r w:rsidRPr="00537695">
        <w:rPr>
          <w:rFonts w:hint="eastAsia"/>
          <w:b/>
        </w:rPr>
        <w:t>–</w:t>
      </w:r>
      <w:r w:rsidRPr="00537695">
        <w:rPr>
          <w:rFonts w:hint="eastAsia"/>
          <w:b/>
        </w:rPr>
        <w:t xml:space="preserve"> Calculation of RWA for Market Risk</w:t>
      </w:r>
    </w:p>
    <w:p w:rsidR="00537695" w:rsidRDefault="00537695" w:rsidP="00537695">
      <w:pPr>
        <w:ind w:firstLine="240"/>
        <w:rPr>
          <w:rFonts w:hint="eastAsia"/>
          <w:lang w:eastAsia="zh-TW"/>
        </w:rPr>
      </w:pPr>
      <w:r>
        <w:rPr>
          <w:rFonts w:hint="eastAsia"/>
          <w:lang w:eastAsia="zh-TW"/>
        </w:rPr>
        <w:t>首先，讓我們明確一下何為市場風險：由於市場價格變動所引發的損失定義為市場風險。</w:t>
      </w:r>
    </w:p>
    <w:p w:rsidR="00537695" w:rsidRDefault="00537695" w:rsidP="00537695">
      <w:pPr>
        <w:rPr>
          <w:rFonts w:hint="eastAsia"/>
          <w:lang w:eastAsia="zh-TW"/>
        </w:rPr>
      </w:pPr>
      <w:r w:rsidRPr="00537695">
        <w:rPr>
          <w:rFonts w:ascii="宋体" w:hAnsi="宋体" w:cs="宋体"/>
          <w:noProof/>
        </w:rPr>
        <w:drawing>
          <wp:anchor distT="0" distB="0" distL="114300" distR="114300" simplePos="0" relativeHeight="251659264" behindDoc="0" locked="0" layoutInCell="1" allowOverlap="1" wp14:anchorId="4726D5C2" wp14:editId="37E35F99">
            <wp:simplePos x="0" y="0"/>
            <wp:positionH relativeFrom="column">
              <wp:posOffset>612475</wp:posOffset>
            </wp:positionH>
            <wp:positionV relativeFrom="paragraph">
              <wp:posOffset>339545</wp:posOffset>
            </wp:positionV>
            <wp:extent cx="3916045" cy="2553335"/>
            <wp:effectExtent l="0" t="0" r="0" b="0"/>
            <wp:wrapTopAndBottom/>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04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lang w:eastAsia="zh-TW"/>
        </w:rPr>
        <w:t>    </w:t>
      </w:r>
      <w:r>
        <w:rPr>
          <w:rFonts w:hint="eastAsia"/>
          <w:lang w:eastAsia="zh-TW"/>
        </w:rPr>
        <w:t>市場風險的主要驅動因素見下圖：</w:t>
      </w:r>
    </w:p>
    <w:p w:rsidR="00537695" w:rsidRDefault="00537695" w:rsidP="00537695">
      <w:pPr>
        <w:spacing w:line="240" w:lineRule="auto"/>
        <w:ind w:firstLineChars="200" w:firstLine="480"/>
        <w:rPr>
          <w:rFonts w:ascii="宋体" w:hAnsi="宋体" w:cs="宋体"/>
          <w:lang w:eastAsia="zh-TW"/>
        </w:rPr>
      </w:pPr>
    </w:p>
    <w:p w:rsidR="00537695" w:rsidRPr="00537695" w:rsidRDefault="00537695" w:rsidP="00537695">
      <w:pPr>
        <w:spacing w:line="240" w:lineRule="auto"/>
        <w:ind w:firstLineChars="200" w:firstLine="480"/>
        <w:rPr>
          <w:rFonts w:ascii="宋体" w:hAnsi="宋体" w:cs="宋体" w:hint="eastAsia"/>
        </w:rPr>
      </w:pPr>
      <w:r w:rsidRPr="00537695">
        <w:rPr>
          <w:rFonts w:ascii="宋体" w:hAnsi="宋体" w:cs="宋体"/>
        </w:rPr>
        <w:fldChar w:fldCharType="begin"/>
      </w:r>
      <w:r w:rsidRPr="00537695">
        <w:rPr>
          <w:rFonts w:ascii="宋体" w:hAnsi="宋体" w:cs="宋体"/>
          <w:lang w:eastAsia="zh-TW"/>
        </w:rPr>
        <w:instrText xml:space="preserve"> INCLUDEPICTURE "/var/folders/rs/cz9gws4d2fx_25qy4qj4kmhc0000gn/T/com.microsoft.Word/WebArchiveCopyPasteTempFiles/watermark,type_ZmFuZ3poZW5naGVpdGk,shadow_10,text_aHR0cHM6Ly9ibG9nLmNzZG4ubmV0L3dlaXhpbl80MzE3MTI3MA==,size_16,color_FFFFFF,t_70" \* MERGEFORMATINET </w:instrText>
      </w:r>
      <w:r w:rsidRPr="00537695">
        <w:rPr>
          <w:rFonts w:ascii="宋体" w:hAnsi="宋体" w:cs="宋体"/>
        </w:rPr>
        <w:fldChar w:fldCharType="separate"/>
      </w:r>
      <w:r w:rsidRPr="00537695">
        <w:rPr>
          <w:rFonts w:ascii="宋体" w:hAnsi="宋体" w:cs="宋体"/>
        </w:rPr>
        <w:fldChar w:fldCharType="end"/>
      </w:r>
      <w:r>
        <w:rPr>
          <w:rFonts w:hint="eastAsia"/>
          <w:lang w:eastAsia="zh-TW"/>
        </w:rPr>
        <w:t>許多銀行都會持有一些交易工具的組合以求短期利潤。</w:t>
      </w:r>
      <w:r>
        <w:rPr>
          <w:rFonts w:hint="eastAsia"/>
        </w:rPr>
        <w:t>這些投資組合，也稱為交易薄</w:t>
      </w:r>
      <w:r>
        <w:rPr>
          <w:rFonts w:hint="eastAsia"/>
          <w:lang w:eastAsia="zh-TW"/>
        </w:rPr>
        <w:t>(Trading Books)</w:t>
      </w:r>
      <w:r>
        <w:rPr>
          <w:rFonts w:hint="eastAsia"/>
        </w:rPr>
        <w:t>，會面臨由於交易工具市場價格的波動所帶來的風險。銀行需要維持一定的資金量以應對這種風險。</w:t>
      </w:r>
    </w:p>
    <w:p w:rsidR="00537695" w:rsidRDefault="00537695" w:rsidP="00537695">
      <w:pPr>
        <w:ind w:firstLine="240"/>
        <w:rPr>
          <w:rFonts w:hint="eastAsia"/>
          <w:lang w:eastAsia="zh-TW"/>
        </w:rPr>
      </w:pPr>
      <w:r>
        <w:rPr>
          <w:rFonts w:hint="eastAsia"/>
          <w:lang w:eastAsia="zh-TW"/>
        </w:rPr>
        <w:lastRenderedPageBreak/>
        <w:t>歷史上銀行所經歷的最重大的交易薄損失就發生在</w:t>
      </w:r>
      <w:r>
        <w:rPr>
          <w:rFonts w:hint="eastAsia"/>
          <w:lang w:eastAsia="zh-TW"/>
        </w:rPr>
        <w:t>2008</w:t>
      </w:r>
      <w:r>
        <w:rPr>
          <w:rFonts w:hint="eastAsia"/>
          <w:lang w:eastAsia="zh-TW"/>
        </w:rPr>
        <w:t>年全球金融危機，這也促使巴塞爾協會制定和加強相關規範來改善全球市場風險框架結構，特別關注於交易工具的信用風險敞口。</w:t>
      </w:r>
    </w:p>
    <w:p w:rsidR="00537695" w:rsidRDefault="00537695" w:rsidP="00537695">
      <w:pPr>
        <w:ind w:firstLine="240"/>
      </w:pPr>
      <w:r>
        <w:rPr>
          <w:rFonts w:hint="eastAsia"/>
          <w:lang w:eastAsia="zh-TW"/>
        </w:rPr>
        <w:t>MAR</w:t>
      </w:r>
      <w:r>
        <w:rPr>
          <w:rFonts w:hint="eastAsia"/>
        </w:rPr>
        <w:t>所使用的度量市場風險的兩個指標為：在險價值</w:t>
      </w:r>
      <w:r>
        <w:rPr>
          <w:rFonts w:hint="eastAsia"/>
          <w:lang w:eastAsia="zh-TW"/>
        </w:rPr>
        <w:t>(</w:t>
      </w:r>
      <w:proofErr w:type="spellStart"/>
      <w:r>
        <w:rPr>
          <w:rFonts w:hint="eastAsia"/>
          <w:lang w:eastAsia="zh-TW"/>
        </w:rPr>
        <w:t>V</w:t>
      </w:r>
      <w:r w:rsidR="001D75BA">
        <w:rPr>
          <w:rFonts w:hint="eastAsia"/>
          <w:lang w:eastAsia="zh-TW"/>
        </w:rPr>
        <w:t>a</w:t>
      </w:r>
      <w:r>
        <w:rPr>
          <w:rFonts w:hint="eastAsia"/>
          <w:lang w:eastAsia="zh-TW"/>
        </w:rPr>
        <w:t>R</w:t>
      </w:r>
      <w:proofErr w:type="spellEnd"/>
      <w:r>
        <w:rPr>
          <w:rFonts w:hint="eastAsia"/>
        </w:rPr>
        <w:t>，</w:t>
      </w:r>
      <w:r>
        <w:rPr>
          <w:rFonts w:hint="eastAsia"/>
          <w:lang w:eastAsia="zh-TW"/>
        </w:rPr>
        <w:t>Value at Risk)</w:t>
      </w:r>
      <w:r>
        <w:rPr>
          <w:rFonts w:hint="eastAsia"/>
        </w:rPr>
        <w:t>和</w:t>
      </w:r>
      <w:r>
        <w:rPr>
          <w:rFonts w:hint="eastAsia"/>
          <w:lang w:eastAsia="zh-TW"/>
        </w:rPr>
        <w:t xml:space="preserve">(ES, Expected Shortfall, </w:t>
      </w:r>
      <w:r w:rsidR="001165B1">
        <w:rPr>
          <w:rFonts w:hint="eastAsia"/>
          <w:lang w:eastAsia="zh-TW"/>
        </w:rPr>
        <w:t>也叫</w:t>
      </w:r>
      <w:proofErr w:type="spellStart"/>
      <w:r>
        <w:rPr>
          <w:rFonts w:hint="eastAsia"/>
          <w:lang w:eastAsia="zh-TW"/>
        </w:rPr>
        <w:t>CVaR</w:t>
      </w:r>
      <w:proofErr w:type="spellEnd"/>
      <w:r>
        <w:rPr>
          <w:rFonts w:hint="eastAsia"/>
          <w:lang w:eastAsia="zh-TW"/>
        </w:rPr>
        <w:t>)</w:t>
      </w:r>
      <w:r>
        <w:rPr>
          <w:rFonts w:hint="eastAsia"/>
        </w:rPr>
        <w:t>條件在險價值。</w:t>
      </w:r>
    </w:p>
    <w:p w:rsidR="001165B1" w:rsidRDefault="001D75BA" w:rsidP="001D75BA">
      <w:pPr>
        <w:rPr>
          <w:lang w:eastAsia="zh-TW"/>
        </w:rPr>
      </w:pPr>
      <w:r>
        <w:rPr>
          <w:rFonts w:hint="eastAsia"/>
          <w:noProof/>
          <w:lang w:eastAsia="zh-TW"/>
        </w:rPr>
        <w:drawing>
          <wp:anchor distT="0" distB="0" distL="114300" distR="114300" simplePos="0" relativeHeight="251663360" behindDoc="0" locked="0" layoutInCell="1" allowOverlap="1">
            <wp:simplePos x="0" y="0"/>
            <wp:positionH relativeFrom="column">
              <wp:posOffset>1026273</wp:posOffset>
            </wp:positionH>
            <wp:positionV relativeFrom="paragraph">
              <wp:posOffset>298749</wp:posOffset>
            </wp:positionV>
            <wp:extent cx="2743200" cy="41084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19-12-02下午8.19.45.png"/>
                    <pic:cNvPicPr/>
                  </pic:nvPicPr>
                  <pic:blipFill>
                    <a:blip r:embed="rId7">
                      <a:extLst>
                        <a:ext uri="{28A0092B-C50C-407E-A947-70E740481C1C}">
                          <a14:useLocalDpi xmlns:a14="http://schemas.microsoft.com/office/drawing/2010/main" val="0"/>
                        </a:ext>
                      </a:extLst>
                    </a:blip>
                    <a:stretch>
                      <a:fillRect/>
                    </a:stretch>
                  </pic:blipFill>
                  <pic:spPr>
                    <a:xfrm>
                      <a:off x="0" y="0"/>
                      <a:ext cx="2743200" cy="410845"/>
                    </a:xfrm>
                    <a:prstGeom prst="rect">
                      <a:avLst/>
                    </a:prstGeom>
                  </pic:spPr>
                </pic:pic>
              </a:graphicData>
            </a:graphic>
            <wp14:sizeRelH relativeFrom="page">
              <wp14:pctWidth>0</wp14:pctWidth>
            </wp14:sizeRelH>
            <wp14:sizeRelV relativeFrom="page">
              <wp14:pctHeight>0</wp14:pctHeight>
            </wp14:sizeRelV>
          </wp:anchor>
        </w:drawing>
      </w:r>
      <w:r>
        <w:rPr>
          <w:lang w:eastAsia="zh-TW"/>
        </w:rPr>
        <w:t>1</w:t>
      </w:r>
      <w:r>
        <w:rPr>
          <w:rFonts w:hint="eastAsia"/>
          <w:lang w:eastAsia="zh-TW"/>
        </w:rPr>
        <w:t>）</w:t>
      </w:r>
      <w:r>
        <w:rPr>
          <w:rFonts w:hint="eastAsia"/>
          <w:lang w:eastAsia="zh-TW"/>
        </w:rPr>
        <w:t>VAR</w:t>
      </w:r>
      <w:r>
        <w:rPr>
          <w:rFonts w:hint="eastAsia"/>
          <w:lang w:eastAsia="zh-TW"/>
        </w:rPr>
        <w:t>：表示金融產品</w:t>
      </w:r>
      <w:r>
        <w:rPr>
          <w:rFonts w:hint="eastAsia"/>
          <w:lang w:eastAsia="zh-TW"/>
        </w:rPr>
        <w:t>X</w:t>
      </w:r>
      <w:r>
        <w:rPr>
          <w:rFonts w:hint="eastAsia"/>
          <w:lang w:eastAsia="zh-TW"/>
        </w:rPr>
        <w:t>在給定置信水平</w:t>
      </w:r>
      <m:oMath>
        <m:r>
          <m:rPr>
            <m:sty m:val="p"/>
          </m:rPr>
          <w:rPr>
            <w:rFonts w:ascii="Cambria Math" w:hAnsi="Cambria Math"/>
            <w:lang w:eastAsia="zh-TW"/>
          </w:rPr>
          <m:t>α</m:t>
        </m:r>
      </m:oMath>
      <w:r>
        <w:rPr>
          <w:rFonts w:hint="eastAsia"/>
          <w:lang w:eastAsia="zh-TW"/>
        </w:rPr>
        <w:t>下的最大損失</w:t>
      </w:r>
    </w:p>
    <w:p w:rsidR="001D75BA" w:rsidRDefault="001D75BA" w:rsidP="001D75BA">
      <w:r>
        <w:rPr>
          <w:rFonts w:hint="eastAsia"/>
          <w:noProof/>
        </w:rPr>
        <w:drawing>
          <wp:anchor distT="0" distB="0" distL="114300" distR="114300" simplePos="0" relativeHeight="251664384" behindDoc="0" locked="0" layoutInCell="1" allowOverlap="1">
            <wp:simplePos x="0" y="0"/>
            <wp:positionH relativeFrom="column">
              <wp:posOffset>865057</wp:posOffset>
            </wp:positionH>
            <wp:positionV relativeFrom="paragraph">
              <wp:posOffset>967665</wp:posOffset>
            </wp:positionV>
            <wp:extent cx="2599055" cy="678815"/>
            <wp:effectExtent l="0" t="0" r="444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屏2019-12-02下午8.20.30.png"/>
                    <pic:cNvPicPr/>
                  </pic:nvPicPr>
                  <pic:blipFill>
                    <a:blip r:embed="rId8">
                      <a:extLst>
                        <a:ext uri="{28A0092B-C50C-407E-A947-70E740481C1C}">
                          <a14:useLocalDpi xmlns:a14="http://schemas.microsoft.com/office/drawing/2010/main" val="0"/>
                        </a:ext>
                      </a:extLst>
                    </a:blip>
                    <a:stretch>
                      <a:fillRect/>
                    </a:stretch>
                  </pic:blipFill>
                  <pic:spPr>
                    <a:xfrm>
                      <a:off x="0" y="0"/>
                      <a:ext cx="2599055" cy="678815"/>
                    </a:xfrm>
                    <a:prstGeom prst="rect">
                      <a:avLst/>
                    </a:prstGeom>
                  </pic:spPr>
                </pic:pic>
              </a:graphicData>
            </a:graphic>
            <wp14:sizeRelH relativeFrom="page">
              <wp14:pctWidth>0</wp14:pctWidth>
            </wp14:sizeRelH>
            <wp14:sizeRelV relativeFrom="page">
              <wp14:pctHeight>0</wp14:pctHeight>
            </wp14:sizeRelV>
          </wp:anchor>
        </w:drawing>
      </w:r>
      <w:r>
        <w:t>2</w:t>
      </w:r>
      <w:r>
        <w:rPr>
          <w:rFonts w:hint="eastAsia"/>
        </w:rPr>
        <w:t>）</w:t>
      </w:r>
      <w:proofErr w:type="spellStart"/>
      <w:r>
        <w:rPr>
          <w:rFonts w:hint="eastAsia"/>
        </w:rPr>
        <w:t>CVaR</w:t>
      </w:r>
      <w:proofErr w:type="spellEnd"/>
      <w:r>
        <w:rPr>
          <w:rFonts w:hint="eastAsia"/>
        </w:rPr>
        <w:t>：</w:t>
      </w:r>
      <w:r w:rsidRPr="001D75BA">
        <w:rPr>
          <w:rFonts w:hint="eastAsia"/>
        </w:rPr>
        <w:t>在投资组合的损失超过某个给定</w:t>
      </w:r>
      <w:proofErr w:type="spellStart"/>
      <w:r w:rsidRPr="001D75BA">
        <w:rPr>
          <w:rFonts w:hint="eastAsia"/>
        </w:rPr>
        <w:t>VaR</w:t>
      </w:r>
      <w:proofErr w:type="spellEnd"/>
      <w:r w:rsidRPr="001D75BA">
        <w:rPr>
          <w:rFonts w:hint="eastAsia"/>
        </w:rPr>
        <w:t>值的条件下，该投资组合的平均损失值</w:t>
      </w:r>
    </w:p>
    <w:p w:rsidR="001D75BA" w:rsidRDefault="001D75BA" w:rsidP="001D75BA">
      <w:pPr>
        <w:rPr>
          <w:rFonts w:hint="eastAsia"/>
        </w:rPr>
      </w:pPr>
    </w:p>
    <w:p w:rsidR="00537695" w:rsidRDefault="00537695" w:rsidP="00537695">
      <w:pPr>
        <w:rPr>
          <w:rFonts w:hint="eastAsia"/>
        </w:rPr>
      </w:pPr>
      <w:r>
        <w:rPr>
          <w:rFonts w:hint="eastAsia"/>
        </w:rPr>
        <w:t>類似於</w:t>
      </w:r>
      <w:r>
        <w:rPr>
          <w:rFonts w:hint="eastAsia"/>
          <w:lang w:eastAsia="zh-TW"/>
        </w:rPr>
        <w:t>CRE</w:t>
      </w:r>
      <w:r>
        <w:rPr>
          <w:rFonts w:hint="eastAsia"/>
        </w:rPr>
        <w:t>，</w:t>
      </w:r>
      <w:r>
        <w:rPr>
          <w:rFonts w:hint="eastAsia"/>
          <w:lang w:eastAsia="zh-TW"/>
        </w:rPr>
        <w:t>MAR</w:t>
      </w:r>
      <w:r>
        <w:rPr>
          <w:rFonts w:hint="eastAsia"/>
        </w:rPr>
        <w:t>也給出了計算市場風險的</w:t>
      </w:r>
      <w:r>
        <w:rPr>
          <w:rFonts w:hint="eastAsia"/>
          <w:lang w:eastAsia="zh-TW"/>
        </w:rPr>
        <w:t>RWA</w:t>
      </w:r>
      <w:r>
        <w:rPr>
          <w:rFonts w:hint="eastAsia"/>
        </w:rPr>
        <w:t>的兩種方法：</w:t>
      </w:r>
      <w:r>
        <w:rPr>
          <w:rFonts w:hint="eastAsia"/>
          <w:lang w:eastAsia="zh-TW"/>
        </w:rPr>
        <w:t xml:space="preserve">Standardized </w:t>
      </w:r>
      <w:r>
        <w:rPr>
          <w:rFonts w:hint="eastAsia"/>
        </w:rPr>
        <w:t>和</w:t>
      </w:r>
      <w:r>
        <w:rPr>
          <w:rFonts w:hint="eastAsia"/>
          <w:lang w:eastAsia="zh-TW"/>
        </w:rPr>
        <w:t xml:space="preserve"> Internal Model</w:t>
      </w:r>
      <w:r>
        <w:rPr>
          <w:rFonts w:hint="eastAsia"/>
        </w:rPr>
        <w:t>，對於市場風險的各種驅動因素會有所不同。</w:t>
      </w:r>
    </w:p>
    <w:p w:rsidR="00537695" w:rsidRDefault="00537695" w:rsidP="00537695">
      <w:pPr>
        <w:pStyle w:val="a3"/>
        <w:numPr>
          <w:ilvl w:val="0"/>
          <w:numId w:val="1"/>
        </w:numPr>
        <w:ind w:firstLineChars="0"/>
        <w:rPr>
          <w:rFonts w:hint="eastAsia"/>
          <w:lang w:eastAsia="zh-TW"/>
        </w:rPr>
      </w:pPr>
      <w:r>
        <w:rPr>
          <w:rFonts w:hint="eastAsia"/>
          <w:lang w:eastAsia="zh-TW"/>
        </w:rPr>
        <w:t>Standardized Approach</w:t>
      </w:r>
    </w:p>
    <w:p w:rsidR="00537695" w:rsidRDefault="00537695" w:rsidP="00537695">
      <w:pPr>
        <w:ind w:firstLine="240"/>
        <w:rPr>
          <w:rFonts w:hint="eastAsia"/>
          <w:lang w:eastAsia="zh-TW"/>
        </w:rPr>
      </w:pPr>
      <w:r>
        <w:rPr>
          <w:rFonts w:hint="eastAsia"/>
          <w:lang w:eastAsia="zh-TW"/>
        </w:rPr>
        <w:t>市場風險的</w:t>
      </w:r>
      <w:r>
        <w:rPr>
          <w:rFonts w:hint="eastAsia"/>
          <w:lang w:eastAsia="zh-TW"/>
        </w:rPr>
        <w:t>RWA</w:t>
      </w:r>
      <w:r>
        <w:rPr>
          <w:rFonts w:hint="eastAsia"/>
          <w:lang w:eastAsia="zh-TW"/>
        </w:rPr>
        <w:t>計算的標準化方法是把針對個別驅動因素所計算出來的最小資本需求乘以</w:t>
      </w:r>
      <w:r>
        <w:rPr>
          <w:rFonts w:hint="eastAsia"/>
          <w:lang w:eastAsia="zh-TW"/>
        </w:rPr>
        <w:t>12.5</w:t>
      </w:r>
      <w:r>
        <w:rPr>
          <w:rFonts w:hint="eastAsia"/>
          <w:lang w:eastAsia="zh-TW"/>
        </w:rPr>
        <w:t>。</w:t>
      </w:r>
      <w:r>
        <w:rPr>
          <w:rFonts w:hint="eastAsia"/>
        </w:rPr>
        <w:t>下面以利率風險舉例說明：</w:t>
      </w:r>
    </w:p>
    <w:p w:rsidR="00537695" w:rsidRDefault="00537695" w:rsidP="00537695">
      <w:pPr>
        <w:ind w:firstLine="240"/>
        <w:rPr>
          <w:rFonts w:hint="eastAsia"/>
          <w:lang w:eastAsia="zh-TW"/>
        </w:rPr>
      </w:pPr>
      <w:r>
        <w:rPr>
          <w:rFonts w:hint="eastAsia"/>
        </w:rPr>
        <w:t>最小資本需求被表示為兩個分離的計算量：特殊風險</w:t>
      </w:r>
      <w:r>
        <w:rPr>
          <w:rFonts w:hint="eastAsia"/>
          <w:lang w:eastAsia="zh-TW"/>
        </w:rPr>
        <w:t>(specific risk)</w:t>
      </w:r>
      <w:r>
        <w:rPr>
          <w:rFonts w:hint="eastAsia"/>
        </w:rPr>
        <w:t>和一般市場風險</w:t>
      </w:r>
      <w:r>
        <w:rPr>
          <w:rFonts w:hint="eastAsia"/>
          <w:lang w:eastAsia="zh-TW"/>
        </w:rPr>
        <w:t>(general market risk)</w:t>
      </w:r>
      <w:r>
        <w:rPr>
          <w:rFonts w:hint="eastAsia"/>
        </w:rPr>
        <w:t>。這裡的特殊風險指的是每一個證券的多頭或者空頭頭寸，其所對應的資本需求主要是為了保護個別證券價格向不利的方向移動。個體證券之間的相互補償是受限的。</w:t>
      </w:r>
    </w:p>
    <w:p w:rsidR="00537695" w:rsidRDefault="00537695" w:rsidP="00537695">
      <w:pPr>
        <w:ind w:firstLine="240"/>
        <w:rPr>
          <w:rFonts w:hint="eastAsia"/>
          <w:lang w:eastAsia="zh-TW"/>
        </w:rPr>
      </w:pPr>
      <w:r>
        <w:rPr>
          <w:rFonts w:hint="eastAsia"/>
          <w:lang w:eastAsia="zh-TW"/>
        </w:rPr>
        <w:t>而一般市場風險資本需求的設計主要是保護市場利率浮動所引起的損失風險。</w:t>
      </w:r>
      <w:r>
        <w:rPr>
          <w:rFonts w:hint="eastAsia"/>
        </w:rPr>
        <w:t>可以採用兩種方法來計算：成熟期法和久期法。在兩種方法中，資本需求是以下四項的和：</w:t>
      </w:r>
    </w:p>
    <w:p w:rsidR="00537695" w:rsidRDefault="00537695" w:rsidP="00537695">
      <w:pPr>
        <w:rPr>
          <w:rFonts w:hint="eastAsia"/>
          <w:lang w:eastAsia="zh-TW"/>
        </w:rPr>
      </w:pPr>
      <w:r>
        <w:rPr>
          <w:rFonts w:hint="eastAsia"/>
          <w:lang w:eastAsia="zh-TW"/>
        </w:rPr>
        <w:t>1</w:t>
      </w:r>
      <w:r>
        <w:rPr>
          <w:rFonts w:hint="eastAsia"/>
        </w:rPr>
        <w:t>）</w:t>
      </w:r>
      <w:r>
        <w:rPr>
          <w:rFonts w:hint="eastAsia"/>
          <w:lang w:eastAsia="zh-TW"/>
        </w:rPr>
        <w:tab/>
      </w:r>
      <w:r>
        <w:rPr>
          <w:rFonts w:hint="eastAsia"/>
        </w:rPr>
        <w:t>整個交易薄中的淨多頭或空頭頭寸。</w:t>
      </w:r>
    </w:p>
    <w:p w:rsidR="00537695" w:rsidRDefault="00537695" w:rsidP="00537695">
      <w:pPr>
        <w:rPr>
          <w:rFonts w:hint="eastAsia"/>
          <w:lang w:eastAsia="zh-TW"/>
        </w:rPr>
      </w:pPr>
      <w:r>
        <w:rPr>
          <w:rFonts w:hint="eastAsia"/>
          <w:lang w:eastAsia="zh-TW"/>
        </w:rPr>
        <w:t>2</w:t>
      </w:r>
      <w:r>
        <w:rPr>
          <w:rFonts w:hint="eastAsia"/>
        </w:rPr>
        <w:t>）</w:t>
      </w:r>
      <w:r>
        <w:rPr>
          <w:rFonts w:hint="eastAsia"/>
          <w:lang w:eastAsia="zh-TW"/>
        </w:rPr>
        <w:tab/>
      </w:r>
      <w:r>
        <w:rPr>
          <w:rFonts w:hint="eastAsia"/>
        </w:rPr>
        <w:t>每個時間段的匹配頭寸的一小部分</w:t>
      </w:r>
    </w:p>
    <w:p w:rsidR="00537695" w:rsidRDefault="00537695" w:rsidP="00537695">
      <w:pPr>
        <w:rPr>
          <w:rFonts w:hint="eastAsia"/>
          <w:lang w:eastAsia="zh-TW"/>
        </w:rPr>
      </w:pPr>
      <w:r>
        <w:rPr>
          <w:rFonts w:hint="eastAsia"/>
          <w:lang w:eastAsia="zh-TW"/>
        </w:rPr>
        <w:t>3</w:t>
      </w:r>
      <w:r>
        <w:rPr>
          <w:rFonts w:hint="eastAsia"/>
        </w:rPr>
        <w:t>）</w:t>
      </w:r>
      <w:r>
        <w:rPr>
          <w:rFonts w:hint="eastAsia"/>
          <w:lang w:eastAsia="zh-TW"/>
        </w:rPr>
        <w:tab/>
      </w:r>
      <w:r>
        <w:rPr>
          <w:rFonts w:hint="eastAsia"/>
        </w:rPr>
        <w:t>跨越多個時間段的匹配頭寸的一大部分</w:t>
      </w:r>
    </w:p>
    <w:p w:rsidR="00537695" w:rsidRDefault="00537695" w:rsidP="00537695">
      <w:pPr>
        <w:rPr>
          <w:rFonts w:hint="eastAsia"/>
          <w:lang w:eastAsia="zh-TW"/>
        </w:rPr>
      </w:pPr>
      <w:r>
        <w:rPr>
          <w:rFonts w:hint="eastAsia"/>
          <w:lang w:eastAsia="zh-TW"/>
        </w:rPr>
        <w:t>4</w:t>
      </w:r>
      <w:r>
        <w:rPr>
          <w:rFonts w:hint="eastAsia"/>
        </w:rPr>
        <w:t>）</w:t>
      </w:r>
      <w:r>
        <w:rPr>
          <w:rFonts w:hint="eastAsia"/>
          <w:lang w:eastAsia="zh-TW"/>
        </w:rPr>
        <w:tab/>
      </w:r>
      <w:r>
        <w:rPr>
          <w:rFonts w:hint="eastAsia"/>
        </w:rPr>
        <w:t>期權頭寸的淨收費</w:t>
      </w:r>
    </w:p>
    <w:p w:rsidR="00537695" w:rsidRDefault="00537695" w:rsidP="00537695">
      <w:pPr>
        <w:pStyle w:val="a3"/>
        <w:numPr>
          <w:ilvl w:val="0"/>
          <w:numId w:val="1"/>
        </w:numPr>
        <w:ind w:firstLineChars="0"/>
        <w:rPr>
          <w:rFonts w:hint="eastAsia"/>
          <w:lang w:eastAsia="zh-TW"/>
        </w:rPr>
      </w:pPr>
      <w:r>
        <w:rPr>
          <w:rFonts w:hint="eastAsia"/>
          <w:lang w:eastAsia="zh-TW"/>
        </w:rPr>
        <w:t>Internal Model Approach</w:t>
      </w:r>
    </w:p>
    <w:p w:rsidR="00537695" w:rsidRDefault="00537695" w:rsidP="00537695">
      <w:pPr>
        <w:ind w:firstLine="240"/>
        <w:rPr>
          <w:rFonts w:hint="eastAsia"/>
          <w:lang w:eastAsia="zh-TW"/>
        </w:rPr>
      </w:pPr>
      <w:r>
        <w:rPr>
          <w:rFonts w:hint="eastAsia"/>
          <w:lang w:eastAsia="zh-TW"/>
        </w:rPr>
        <w:t>類似的，內部模型方法也是針對個別驅動因素所計算的最小資本需求乘以</w:t>
      </w:r>
      <w:r>
        <w:rPr>
          <w:rFonts w:hint="eastAsia"/>
          <w:lang w:eastAsia="zh-TW"/>
        </w:rPr>
        <w:t>12.5</w:t>
      </w:r>
      <w:r>
        <w:rPr>
          <w:rFonts w:hint="eastAsia"/>
          <w:lang w:eastAsia="zh-TW"/>
        </w:rPr>
        <w:t>。</w:t>
      </w:r>
    </w:p>
    <w:p w:rsidR="00537695" w:rsidRDefault="00537695" w:rsidP="00537695">
      <w:pPr>
        <w:ind w:firstLine="240"/>
        <w:rPr>
          <w:rFonts w:hint="eastAsia"/>
          <w:lang w:eastAsia="zh-TW"/>
        </w:rPr>
      </w:pPr>
      <w:r>
        <w:rPr>
          <w:rFonts w:hint="eastAsia"/>
          <w:lang w:eastAsia="zh-TW"/>
        </w:rPr>
        <w:lastRenderedPageBreak/>
        <w:t>監管部門要求銀行必須遵從其定義的量化准則，諸如</w:t>
      </w:r>
      <w:proofErr w:type="spellStart"/>
      <w:r>
        <w:rPr>
          <w:rFonts w:hint="eastAsia"/>
          <w:lang w:eastAsia="zh-TW"/>
        </w:rPr>
        <w:t>VaR</w:t>
      </w:r>
      <w:proofErr w:type="spellEnd"/>
      <w:r>
        <w:rPr>
          <w:rFonts w:hint="eastAsia"/>
          <w:lang w:eastAsia="zh-TW"/>
        </w:rPr>
        <w:t xml:space="preserve">, </w:t>
      </w:r>
      <w:proofErr w:type="spellStart"/>
      <w:r>
        <w:rPr>
          <w:rFonts w:hint="eastAsia"/>
          <w:lang w:eastAsia="zh-TW"/>
        </w:rPr>
        <w:t>sVaR</w:t>
      </w:r>
      <w:proofErr w:type="spellEnd"/>
      <w:r>
        <w:rPr>
          <w:rFonts w:hint="eastAsia"/>
          <w:lang w:eastAsia="zh-TW"/>
        </w:rPr>
        <w:t>等；明確市場風險因子，並且其模型必須通過外部驗證機構的審核。</w:t>
      </w:r>
      <w:r>
        <w:rPr>
          <w:rFonts w:hint="eastAsia"/>
        </w:rPr>
        <w:t>其模型必須容納如下測度：</w:t>
      </w:r>
    </w:p>
    <w:p w:rsidR="00537695" w:rsidRDefault="00537695" w:rsidP="00537695">
      <w:pPr>
        <w:rPr>
          <w:rFonts w:hint="eastAsia"/>
          <w:lang w:eastAsia="zh-TW"/>
        </w:rPr>
      </w:pPr>
      <w:r>
        <w:rPr>
          <w:rFonts w:hint="eastAsia"/>
          <w:lang w:eastAsia="zh-TW"/>
        </w:rPr>
        <w:t>1</w:t>
      </w:r>
      <w:r>
        <w:rPr>
          <w:rFonts w:hint="eastAsia"/>
        </w:rPr>
        <w:t>）</w:t>
      </w:r>
      <w:r>
        <w:rPr>
          <w:rFonts w:hint="eastAsia"/>
          <w:lang w:eastAsia="zh-TW"/>
        </w:rPr>
        <w:tab/>
      </w:r>
      <w:r>
        <w:rPr>
          <w:rFonts w:hint="eastAsia"/>
        </w:rPr>
        <w:t>多個違約的累計風險，包括違約的次序和分割後的小額整卷。</w:t>
      </w:r>
    </w:p>
    <w:p w:rsidR="00537695" w:rsidRDefault="00537695" w:rsidP="00537695">
      <w:pPr>
        <w:rPr>
          <w:rFonts w:hint="eastAsia"/>
          <w:lang w:eastAsia="zh-TW"/>
        </w:rPr>
      </w:pPr>
      <w:r>
        <w:rPr>
          <w:rFonts w:hint="eastAsia"/>
          <w:lang w:eastAsia="zh-TW"/>
        </w:rPr>
        <w:t>2</w:t>
      </w:r>
      <w:r>
        <w:rPr>
          <w:rFonts w:hint="eastAsia"/>
        </w:rPr>
        <w:t>）</w:t>
      </w:r>
      <w:r>
        <w:rPr>
          <w:rFonts w:hint="eastAsia"/>
          <w:lang w:eastAsia="zh-TW"/>
        </w:rPr>
        <w:tab/>
      </w:r>
      <w:r>
        <w:rPr>
          <w:rFonts w:hint="eastAsia"/>
        </w:rPr>
        <w:t>信用傳播風險，包括伽馬效應和交叉伽馬效應。</w:t>
      </w:r>
    </w:p>
    <w:p w:rsidR="00537695" w:rsidRDefault="00537695" w:rsidP="00537695">
      <w:pPr>
        <w:rPr>
          <w:rFonts w:hint="eastAsia"/>
          <w:lang w:eastAsia="zh-TW"/>
        </w:rPr>
      </w:pPr>
      <w:r>
        <w:rPr>
          <w:rFonts w:hint="eastAsia"/>
          <w:lang w:eastAsia="zh-TW"/>
        </w:rPr>
        <w:t>3</w:t>
      </w:r>
      <w:r>
        <w:rPr>
          <w:rFonts w:hint="eastAsia"/>
        </w:rPr>
        <w:t>）</w:t>
      </w:r>
      <w:r>
        <w:rPr>
          <w:rFonts w:hint="eastAsia"/>
          <w:lang w:eastAsia="zh-TW"/>
        </w:rPr>
        <w:tab/>
      </w:r>
      <w:r>
        <w:rPr>
          <w:rFonts w:hint="eastAsia"/>
        </w:rPr>
        <w:t>隱含相關性的波動率，包括相關性和傳播之間的交叉效應。</w:t>
      </w:r>
    </w:p>
    <w:p w:rsidR="00537695" w:rsidRDefault="00537695" w:rsidP="00537695">
      <w:pPr>
        <w:rPr>
          <w:rFonts w:hint="eastAsia"/>
          <w:lang w:eastAsia="zh-TW"/>
        </w:rPr>
      </w:pPr>
      <w:r>
        <w:rPr>
          <w:rFonts w:hint="eastAsia"/>
          <w:lang w:eastAsia="zh-TW"/>
        </w:rPr>
        <w:t>4</w:t>
      </w:r>
      <w:r>
        <w:rPr>
          <w:rFonts w:hint="eastAsia"/>
        </w:rPr>
        <w:t>）</w:t>
      </w:r>
      <w:r>
        <w:rPr>
          <w:rFonts w:hint="eastAsia"/>
          <w:lang w:eastAsia="zh-TW"/>
        </w:rPr>
        <w:tab/>
      </w:r>
      <w:r>
        <w:rPr>
          <w:rFonts w:hint="eastAsia"/>
        </w:rPr>
        <w:t>基本風險</w:t>
      </w:r>
    </w:p>
    <w:p w:rsidR="00537695" w:rsidRDefault="00537695" w:rsidP="00537695">
      <w:pPr>
        <w:rPr>
          <w:rFonts w:hint="eastAsia"/>
          <w:lang w:eastAsia="zh-TW"/>
        </w:rPr>
      </w:pPr>
      <w:r>
        <w:rPr>
          <w:rFonts w:hint="eastAsia"/>
          <w:lang w:eastAsia="zh-TW"/>
        </w:rPr>
        <w:t>5</w:t>
      </w:r>
      <w:r>
        <w:rPr>
          <w:rFonts w:hint="eastAsia"/>
        </w:rPr>
        <w:t>）</w:t>
      </w:r>
      <w:r>
        <w:rPr>
          <w:rFonts w:hint="eastAsia"/>
          <w:lang w:eastAsia="zh-TW"/>
        </w:rPr>
        <w:tab/>
      </w:r>
      <w:r>
        <w:rPr>
          <w:rFonts w:hint="eastAsia"/>
        </w:rPr>
        <w:t>回收率波動</w:t>
      </w:r>
    </w:p>
    <w:p w:rsidR="00537695" w:rsidRDefault="00537695" w:rsidP="00537695">
      <w:r>
        <w:rPr>
          <w:rFonts w:hint="eastAsia"/>
          <w:lang w:eastAsia="zh-TW"/>
        </w:rPr>
        <w:t>6</w:t>
      </w:r>
      <w:r>
        <w:rPr>
          <w:rFonts w:hint="eastAsia"/>
        </w:rPr>
        <w:t>）</w:t>
      </w:r>
      <w:r>
        <w:rPr>
          <w:rFonts w:hint="eastAsia"/>
          <w:lang w:eastAsia="zh-TW"/>
        </w:rPr>
        <w:tab/>
      </w:r>
      <w:r>
        <w:rPr>
          <w:rFonts w:hint="eastAsia"/>
        </w:rPr>
        <w:t>動態對衝，對衝換位和對衝再平衡的潛在成本</w:t>
      </w:r>
    </w:p>
    <w:p w:rsidR="00537695" w:rsidRDefault="00537695" w:rsidP="00537695">
      <w:pPr>
        <w:rPr>
          <w:rFonts w:hint="eastAsia"/>
          <w:lang w:eastAsia="zh-TW"/>
        </w:rPr>
      </w:pPr>
    </w:p>
    <w:p w:rsidR="00537695" w:rsidRDefault="00537695" w:rsidP="00537695">
      <w:pPr>
        <w:pStyle w:val="a3"/>
        <w:numPr>
          <w:ilvl w:val="0"/>
          <w:numId w:val="1"/>
        </w:numPr>
        <w:ind w:firstLineChars="0"/>
        <w:rPr>
          <w:rFonts w:hint="eastAsia"/>
          <w:lang w:eastAsia="zh-TW"/>
        </w:rPr>
      </w:pPr>
      <w:r>
        <w:rPr>
          <w:rFonts w:hint="eastAsia"/>
          <w:lang w:eastAsia="zh-TW"/>
        </w:rPr>
        <w:t>Credit valuation adjustment risk capital requirement</w:t>
      </w:r>
    </w:p>
    <w:p w:rsidR="00537695" w:rsidRDefault="00537695" w:rsidP="00537695">
      <w:pPr>
        <w:ind w:firstLine="240"/>
        <w:rPr>
          <w:rFonts w:hint="eastAsia"/>
          <w:lang w:eastAsia="zh-TW"/>
        </w:rPr>
      </w:pPr>
      <w:r>
        <w:rPr>
          <w:rFonts w:hint="eastAsia"/>
          <w:lang w:eastAsia="zh-TW"/>
        </w:rPr>
        <w:t>除了用標準化方法或內部模型法來確定的合約方的違約風險，銀行還必須考慮可覆蓋期望合約方風險到場外衍生品交易的逐日盯市損失</w:t>
      </w:r>
      <w:r>
        <w:rPr>
          <w:rFonts w:hint="eastAsia"/>
          <w:lang w:eastAsia="zh-TW"/>
        </w:rPr>
        <w:t>(CVA)</w:t>
      </w:r>
      <w:r>
        <w:rPr>
          <w:rFonts w:hint="eastAsia"/>
          <w:lang w:eastAsia="zh-TW"/>
        </w:rPr>
        <w:t>所需的資本。</w:t>
      </w:r>
      <w:r>
        <w:rPr>
          <w:rFonts w:hint="eastAsia"/>
          <w:lang w:eastAsia="zh-TW"/>
        </w:rPr>
        <w:t>CVA</w:t>
      </w:r>
      <w:r>
        <w:rPr>
          <w:rFonts w:hint="eastAsia"/>
        </w:rPr>
        <w:t>相關資本需求主要是考慮合約方的信用風險和特定的利率風險。</w:t>
      </w:r>
    </w:p>
    <w:p w:rsidR="00537695" w:rsidRDefault="00537695" w:rsidP="00537695"/>
    <w:p w:rsidR="00537695" w:rsidRPr="00537695" w:rsidRDefault="00537695" w:rsidP="00537695">
      <w:pPr>
        <w:rPr>
          <w:rFonts w:hint="eastAsia"/>
          <w:b/>
          <w:lang w:eastAsia="zh-TW"/>
        </w:rPr>
      </w:pPr>
      <w:r w:rsidRPr="00537695">
        <w:rPr>
          <w:rFonts w:hint="eastAsia"/>
          <w:b/>
        </w:rPr>
        <w:t>四</w:t>
      </w:r>
      <w:r w:rsidRPr="00537695">
        <w:rPr>
          <w:rFonts w:hint="eastAsia"/>
          <w:b/>
          <w:lang w:eastAsia="zh-TW"/>
        </w:rPr>
        <w:t>、</w:t>
      </w:r>
      <w:r w:rsidRPr="00537695">
        <w:rPr>
          <w:rFonts w:hint="eastAsia"/>
          <w:b/>
          <w:lang w:eastAsia="zh-TW"/>
        </w:rPr>
        <w:t xml:space="preserve">OPE </w:t>
      </w:r>
      <w:r w:rsidRPr="00537695">
        <w:rPr>
          <w:rFonts w:hint="eastAsia"/>
          <w:b/>
        </w:rPr>
        <w:t>–</w:t>
      </w:r>
      <w:r w:rsidRPr="00537695">
        <w:rPr>
          <w:rFonts w:hint="eastAsia"/>
          <w:b/>
          <w:lang w:eastAsia="zh-TW"/>
        </w:rPr>
        <w:t xml:space="preserve"> Calculation of RWA for operational Risk</w:t>
      </w:r>
    </w:p>
    <w:p w:rsidR="00537695" w:rsidRDefault="00537695" w:rsidP="00537695">
      <w:pPr>
        <w:rPr>
          <w:rFonts w:hint="eastAsia"/>
        </w:rPr>
      </w:pPr>
      <w:r>
        <w:rPr>
          <w:rFonts w:hint="eastAsia"/>
          <w:lang w:eastAsia="zh-TW"/>
        </w:rPr>
        <w:t>    OPE</w:t>
      </w:r>
      <w:r>
        <w:rPr>
          <w:rFonts w:hint="eastAsia"/>
        </w:rPr>
        <w:t>主要描述了對於操作風險如何計算資本需要量，可用的方法有三種：基本指標法、標準化方法和高級度量法。操作風險定義為由於銀行內部不完備獲知失敗的流程、人員和系統造成損失的風險，也包括外部事件和法律風險，但不包括戰略和聲譽風險。</w:t>
      </w:r>
    </w:p>
    <w:p w:rsidR="00537695" w:rsidRDefault="00537695" w:rsidP="00537695">
      <w:pPr>
        <w:pStyle w:val="a3"/>
        <w:numPr>
          <w:ilvl w:val="0"/>
          <w:numId w:val="1"/>
        </w:numPr>
        <w:ind w:firstLineChars="0"/>
      </w:pPr>
      <w:r>
        <w:t>Basic Indicator Approach</w:t>
      </w:r>
    </w:p>
    <w:p w:rsidR="00537695" w:rsidRDefault="00537695" w:rsidP="00537695">
      <w:pPr>
        <w:ind w:firstLine="240"/>
        <w:rPr>
          <w:rFonts w:hint="eastAsia"/>
          <w:lang w:eastAsia="zh-TW"/>
        </w:rPr>
      </w:pPr>
      <w:r>
        <w:rPr>
          <w:rFonts w:hint="eastAsia"/>
          <w:lang w:eastAsia="zh-TW"/>
        </w:rPr>
        <w:t>這是三個方法中最簡單的。</w:t>
      </w:r>
      <w:r>
        <w:rPr>
          <w:rFonts w:hint="eastAsia"/>
        </w:rPr>
        <w:t>基本指數法要求銀行對於操作風險的資本持有量等於前三年平均正的年毛收入的固定百分比（記為ɑ）</w:t>
      </w:r>
    </w:p>
    <w:p w:rsidR="00537695" w:rsidRDefault="00537695" w:rsidP="00537695">
      <w:pPr>
        <w:rPr>
          <w:rFonts w:hint="eastAsia"/>
          <w:lang w:eastAsia="zh-TW"/>
        </w:rPr>
      </w:pPr>
      <w:r>
        <w:rPr>
          <w:rFonts w:hint="eastAsia"/>
          <w:lang w:eastAsia="zh-TW"/>
        </w:rPr>
        <w:t>所需資本量為</w:t>
      </w:r>
      <w:r>
        <w:rPr>
          <w:rFonts w:hint="eastAsia"/>
          <w:lang w:eastAsia="zh-TW"/>
        </w:rPr>
        <w:t>KBIA=</w:t>
      </w:r>
      <w:r>
        <w:rPr>
          <w:rFonts w:hint="eastAsia"/>
          <w:lang w:eastAsia="zh-TW"/>
        </w:rPr>
        <w:t>∑</w:t>
      </w:r>
      <w:r>
        <w:rPr>
          <w:rFonts w:hint="eastAsia"/>
          <w:lang w:eastAsia="zh-TW"/>
        </w:rPr>
        <w:t>(</w:t>
      </w:r>
      <m:oMath>
        <m:sSub>
          <m:sSubPr>
            <m:ctrlPr>
              <w:rPr>
                <w:rFonts w:ascii="Cambria Math" w:hAnsi="Cambria Math"/>
                <w:lang w:eastAsia="zh-TW"/>
              </w:rPr>
            </m:ctrlPr>
          </m:sSubPr>
          <m:e>
            <m:r>
              <w:rPr>
                <w:rFonts w:ascii="Cambria Math" w:hAnsi="Cambria Math" w:hint="eastAsia"/>
                <w:lang w:eastAsia="zh-TW"/>
              </w:rPr>
              <m:t>GI</m:t>
            </m:r>
          </m:e>
          <m:sub>
            <m:eqArr>
              <m:eqArrPr>
                <m:ctrlPr>
                  <w:rPr>
                    <w:rFonts w:ascii="Cambria Math" w:hAnsi="Cambria Math"/>
                    <w:i/>
                    <w:lang w:eastAsia="zh-TW"/>
                  </w:rPr>
                </m:ctrlPr>
              </m:eqArrPr>
              <m:e>
                <m:r>
                  <w:rPr>
                    <w:rFonts w:ascii="Cambria Math" w:hAnsi="Cambria Math"/>
                    <w:lang w:eastAsia="zh-TW"/>
                  </w:rPr>
                  <m:t>1…n</m:t>
                </m:r>
                <m:ctrlPr>
                  <w:rPr>
                    <w:rFonts w:ascii="Cambria Math" w:hAnsi="Cambria Math"/>
                    <w:i/>
                  </w:rPr>
                </m:ctrlPr>
              </m:e>
              <m:e>
                <m:ctrlPr>
                  <w:rPr>
                    <w:rFonts w:ascii="Cambria Math" w:hAnsi="Cambria Math"/>
                    <w:i/>
                  </w:rPr>
                </m:ctrlPr>
              </m:e>
            </m:eqArr>
          </m:sub>
        </m:sSub>
        <m:r>
          <w:rPr>
            <w:rFonts w:ascii="Cambria Math" w:hAnsi="Cambria Math"/>
            <w:lang w:eastAsia="zh-TW"/>
          </w:rPr>
          <m:t>×</m:t>
        </m:r>
      </m:oMath>
      <w:r>
        <w:rPr>
          <w:rFonts w:hint="eastAsia"/>
        </w:rPr>
        <w:t>α</w:t>
      </w:r>
      <w:r>
        <w:rPr>
          <w:rFonts w:hint="eastAsia"/>
          <w:lang w:eastAsia="zh-TW"/>
        </w:rPr>
        <w:t>)/n</w:t>
      </w:r>
      <w:r>
        <w:rPr>
          <w:rFonts w:hint="eastAsia"/>
          <w:lang w:eastAsia="zh-TW"/>
        </w:rPr>
        <w:t>，其中</w:t>
      </w:r>
      <w:r>
        <w:rPr>
          <w:rFonts w:hint="eastAsia"/>
          <w:lang w:eastAsia="zh-TW"/>
        </w:rPr>
        <w:t>GI</w:t>
      </w:r>
      <w:r>
        <w:rPr>
          <w:rFonts w:hint="eastAsia"/>
          <w:lang w:eastAsia="zh-TW"/>
        </w:rPr>
        <w:t>為年</w:t>
      </w:r>
      <w:r w:rsidR="002F6BD1">
        <w:rPr>
          <w:rFonts w:hint="eastAsia"/>
          <w:lang w:eastAsia="zh-TW"/>
        </w:rPr>
        <w:t>G</w:t>
      </w:r>
      <w:r w:rsidR="002F6BD1">
        <w:rPr>
          <w:lang w:eastAsia="zh-TW"/>
        </w:rPr>
        <w:t>ross Income</w:t>
      </w:r>
      <w:r>
        <w:rPr>
          <w:rFonts w:hint="eastAsia"/>
          <w:lang w:eastAsia="zh-TW"/>
        </w:rPr>
        <w:t>。</w:t>
      </w:r>
    </w:p>
    <w:p w:rsidR="00537695" w:rsidRDefault="00537695" w:rsidP="00537695">
      <w:pPr>
        <w:pStyle w:val="a3"/>
        <w:numPr>
          <w:ilvl w:val="0"/>
          <w:numId w:val="1"/>
        </w:numPr>
        <w:ind w:firstLineChars="0"/>
      </w:pPr>
      <w:r>
        <w:t>Standardized Approach</w:t>
      </w:r>
    </w:p>
    <w:p w:rsidR="00537695" w:rsidRDefault="002F6BD1" w:rsidP="00537695">
      <w:pPr>
        <w:rPr>
          <w:rFonts w:hint="eastAsia"/>
          <w:lang w:eastAsia="zh-TW"/>
        </w:rPr>
      </w:pPr>
      <w:r>
        <w:rPr>
          <w:noProof/>
        </w:rPr>
        <w:drawing>
          <wp:anchor distT="0" distB="0" distL="114300" distR="114300" simplePos="0" relativeHeight="251660288" behindDoc="1" locked="0" layoutInCell="1" allowOverlap="1" wp14:anchorId="65EEF21F">
            <wp:simplePos x="0" y="0"/>
            <wp:positionH relativeFrom="column">
              <wp:posOffset>934935</wp:posOffset>
            </wp:positionH>
            <wp:positionV relativeFrom="paragraph">
              <wp:posOffset>742890</wp:posOffset>
            </wp:positionV>
            <wp:extent cx="3286125" cy="237490"/>
            <wp:effectExtent l="0" t="0" r="3175" b="3810"/>
            <wp:wrapTight wrapText="bothSides">
              <wp:wrapPolygon edited="0">
                <wp:start x="0" y="0"/>
                <wp:lineTo x="0" y="20791"/>
                <wp:lineTo x="21537" y="20791"/>
                <wp:lineTo x="21537"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19-12-02下午7.50.46.png"/>
                    <pic:cNvPicPr/>
                  </pic:nvPicPr>
                  <pic:blipFill>
                    <a:blip r:embed="rId9">
                      <a:extLst>
                        <a:ext uri="{28A0092B-C50C-407E-A947-70E740481C1C}">
                          <a14:useLocalDpi xmlns:a14="http://schemas.microsoft.com/office/drawing/2010/main" val="0"/>
                        </a:ext>
                      </a:extLst>
                    </a:blip>
                    <a:stretch>
                      <a:fillRect/>
                    </a:stretch>
                  </pic:blipFill>
                  <pic:spPr>
                    <a:xfrm>
                      <a:off x="0" y="0"/>
                      <a:ext cx="3286125" cy="237490"/>
                    </a:xfrm>
                    <a:prstGeom prst="rect">
                      <a:avLst/>
                    </a:prstGeom>
                  </pic:spPr>
                </pic:pic>
              </a:graphicData>
            </a:graphic>
            <wp14:sizeRelH relativeFrom="page">
              <wp14:pctWidth>0</wp14:pctWidth>
            </wp14:sizeRelH>
            <wp14:sizeRelV relativeFrom="page">
              <wp14:pctHeight>0</wp14:pctHeight>
            </wp14:sizeRelV>
          </wp:anchor>
        </w:drawing>
      </w:r>
      <w:r w:rsidR="00537695">
        <w:rPr>
          <w:rFonts w:hint="eastAsia"/>
          <w:lang w:eastAsia="zh-TW"/>
        </w:rPr>
        <w:t>    </w:t>
      </w:r>
      <w:r w:rsidR="00537695">
        <w:rPr>
          <w:rFonts w:hint="eastAsia"/>
          <w:lang w:eastAsia="zh-TW"/>
        </w:rPr>
        <w:t>在標準化方法中，銀行的行為被分為</w:t>
      </w:r>
      <w:r w:rsidR="00537695">
        <w:rPr>
          <w:rFonts w:hint="eastAsia"/>
          <w:lang w:eastAsia="zh-TW"/>
        </w:rPr>
        <w:t>8</w:t>
      </w:r>
      <w:r w:rsidR="00537695">
        <w:rPr>
          <w:rFonts w:hint="eastAsia"/>
          <w:lang w:eastAsia="zh-TW"/>
        </w:rPr>
        <w:t>個業務線，分別為：公司金融、交易和銷售、零售銀行、商業銀行、支付處理、代理服務、資產管理和零售經紀業務。</w:t>
      </w:r>
    </w:p>
    <w:p w:rsidR="002F6BD1" w:rsidRDefault="00537695" w:rsidP="00537695">
      <w:r>
        <w:rPr>
          <w:rFonts w:hint="eastAsia"/>
        </w:rPr>
        <w:t>資本需求量</w:t>
      </w:r>
    </w:p>
    <w:p w:rsidR="00537695" w:rsidRDefault="00537695" w:rsidP="00537695">
      <w:pPr>
        <w:rPr>
          <w:rFonts w:hint="eastAsia"/>
        </w:rPr>
      </w:pPr>
      <w:r>
        <w:rPr>
          <w:rFonts w:hint="eastAsia"/>
        </w:rPr>
        <w:t>这里的</w:t>
      </w:r>
      <m:oMath>
        <m:sSub>
          <m:sSubPr>
            <m:ctrlPr>
              <w:rPr>
                <w:rFonts w:ascii="Cambria Math" w:hAnsi="Cambria Math"/>
              </w:rPr>
            </m:ctrlPr>
          </m:sSubPr>
          <m:e>
            <m:r>
              <m:rPr>
                <m:sty m:val="p"/>
              </m:rPr>
              <w:rPr>
                <w:rFonts w:ascii="Cambria Math" w:hAnsi="Cambria Math"/>
              </w:rPr>
              <m:t>β</m:t>
            </m:r>
          </m:e>
          <m:sub>
            <m:r>
              <w:rPr>
                <w:rFonts w:ascii="Cambria Math" w:hAnsi="Cambria Math"/>
              </w:rPr>
              <m:t>1-8</m:t>
            </m:r>
          </m:sub>
        </m:sSub>
      </m:oMath>
      <w:r>
        <w:rPr>
          <w:rFonts w:hint="eastAsia"/>
        </w:rPr>
        <w:t>分别代表八个业务线的比率因子。</w:t>
      </w:r>
    </w:p>
    <w:p w:rsidR="00537695" w:rsidRDefault="00537695" w:rsidP="002F6BD1">
      <w:pPr>
        <w:pStyle w:val="a3"/>
        <w:numPr>
          <w:ilvl w:val="0"/>
          <w:numId w:val="1"/>
        </w:numPr>
        <w:ind w:firstLineChars="0"/>
      </w:pPr>
      <w:r>
        <w:t>Advanced Measurement Approaches (AMAs)</w:t>
      </w:r>
    </w:p>
    <w:p w:rsidR="00537695" w:rsidRDefault="00537695" w:rsidP="00537695">
      <w:pPr>
        <w:rPr>
          <w:rFonts w:hint="eastAsia"/>
        </w:rPr>
      </w:pPr>
      <w:r>
        <w:rPr>
          <w:rFonts w:hint="eastAsia"/>
        </w:rPr>
        <w:t>    AMA</w:t>
      </w:r>
      <w:r>
        <w:rPr>
          <w:rFonts w:hint="eastAsia"/>
        </w:rPr>
        <w:t>方法中的资本需求量的风险度量是由银行内部操作风险评价系统产生，</w:t>
      </w:r>
      <w:r>
        <w:rPr>
          <w:rFonts w:hint="eastAsia"/>
        </w:rPr>
        <w:t>AMA</w:t>
      </w:r>
      <w:r>
        <w:rPr>
          <w:rFonts w:hint="eastAsia"/>
        </w:rPr>
        <w:t>规定了定量和定性准则。银行采用</w:t>
      </w:r>
      <w:r>
        <w:rPr>
          <w:rFonts w:hint="eastAsia"/>
        </w:rPr>
        <w:t>AMA</w:t>
      </w:r>
      <w:r>
        <w:rPr>
          <w:rFonts w:hint="eastAsia"/>
        </w:rPr>
        <w:t>方法需要得到监管部门的许可，同时银行需要满足如下条件才可能采用</w:t>
      </w:r>
      <w:r>
        <w:rPr>
          <w:rFonts w:hint="eastAsia"/>
        </w:rPr>
        <w:t>AMA</w:t>
      </w:r>
      <w:r>
        <w:rPr>
          <w:rFonts w:hint="eastAsia"/>
        </w:rPr>
        <w:t>：</w:t>
      </w:r>
    </w:p>
    <w:p w:rsidR="00537695" w:rsidRDefault="002F6BD1" w:rsidP="00537695">
      <w:pPr>
        <w:rPr>
          <w:rFonts w:hint="eastAsia"/>
        </w:rPr>
      </w:pPr>
      <w:r>
        <w:lastRenderedPageBreak/>
        <w:t xml:space="preserve">1) </w:t>
      </w:r>
      <w:r w:rsidR="00537695">
        <w:rPr>
          <w:rFonts w:hint="eastAsia"/>
        </w:rPr>
        <w:t>银行领导层和高级管理层积极参与了操作风险管理框架的监督。</w:t>
      </w:r>
    </w:p>
    <w:p w:rsidR="00537695" w:rsidRDefault="002F6BD1" w:rsidP="00537695">
      <w:pPr>
        <w:rPr>
          <w:rFonts w:hint="eastAsia"/>
        </w:rPr>
      </w:pPr>
      <w:r>
        <w:t xml:space="preserve">2) </w:t>
      </w:r>
      <w:r w:rsidR="00537695">
        <w:rPr>
          <w:rFonts w:hint="eastAsia"/>
        </w:rPr>
        <w:t>银行具有概念和实施都完备的操作风险管理系统。</w:t>
      </w:r>
    </w:p>
    <w:p w:rsidR="00537695" w:rsidRDefault="002F6BD1" w:rsidP="00537695">
      <w:pPr>
        <w:rPr>
          <w:rFonts w:hint="eastAsia"/>
        </w:rPr>
      </w:pPr>
      <w:r>
        <w:t xml:space="preserve">3) </w:t>
      </w:r>
      <w:r w:rsidR="00537695">
        <w:rPr>
          <w:rFonts w:hint="eastAsia"/>
        </w:rPr>
        <w:t>银行具备足够的资源来使用这种方法在其主要的业务线，同时也有足够的资源在控制和审计领域。</w:t>
      </w:r>
    </w:p>
    <w:p w:rsidR="00537695" w:rsidRDefault="002F6BD1" w:rsidP="00537695">
      <w:pPr>
        <w:rPr>
          <w:rFonts w:hint="eastAsia"/>
        </w:rPr>
      </w:pPr>
      <w:r>
        <w:rPr>
          <w:rFonts w:hint="eastAsia"/>
          <w:lang w:eastAsia="zh-TW"/>
        </w:rPr>
        <w:t>    </w:t>
      </w:r>
      <w:r>
        <w:rPr>
          <w:rFonts w:hint="eastAsia"/>
          <w:lang w:eastAsia="zh-TW"/>
        </w:rPr>
        <w:t>相比於</w:t>
      </w:r>
      <w:r>
        <w:rPr>
          <w:rFonts w:hint="eastAsia"/>
          <w:lang w:eastAsia="zh-TW"/>
        </w:rPr>
        <w:t>Basel II</w:t>
      </w:r>
      <w:r>
        <w:rPr>
          <w:rFonts w:hint="eastAsia"/>
          <w:lang w:eastAsia="zh-TW"/>
        </w:rPr>
        <w:t>，</w:t>
      </w:r>
      <w:r>
        <w:rPr>
          <w:rFonts w:hint="eastAsia"/>
          <w:lang w:eastAsia="zh-TW"/>
        </w:rPr>
        <w:t>Basel III</w:t>
      </w:r>
      <w:r>
        <w:rPr>
          <w:rFonts w:hint="eastAsia"/>
          <w:lang w:eastAsia="zh-TW"/>
        </w:rPr>
        <w:t>在信用風險</w:t>
      </w:r>
      <w:r>
        <w:rPr>
          <w:rFonts w:hint="eastAsia"/>
          <w:lang w:eastAsia="zh-TW"/>
        </w:rPr>
        <w:t>RWA</w:t>
      </w:r>
      <w:r>
        <w:rPr>
          <w:rFonts w:hint="eastAsia"/>
          <w:lang w:eastAsia="zh-TW"/>
        </w:rPr>
        <w:t>的標準方法和</w:t>
      </w:r>
      <w:r>
        <w:rPr>
          <w:rFonts w:hint="eastAsia"/>
          <w:lang w:eastAsia="zh-TW"/>
        </w:rPr>
        <w:t>IRB</w:t>
      </w:r>
      <w:r>
        <w:rPr>
          <w:rFonts w:hint="eastAsia"/>
          <w:lang w:eastAsia="zh-TW"/>
        </w:rPr>
        <w:t>方法上、操作風險上都更為嚴格，且引入了</w:t>
      </w:r>
      <w:r>
        <w:rPr>
          <w:rFonts w:hint="eastAsia"/>
          <w:lang w:eastAsia="zh-TW"/>
        </w:rPr>
        <w:t>CVA</w:t>
      </w:r>
      <w:r>
        <w:rPr>
          <w:rFonts w:hint="eastAsia"/>
          <w:lang w:eastAsia="zh-TW"/>
        </w:rPr>
        <w:t>風險框架，同時在槓桿比率、資本產出下線等都有所加強。</w:t>
      </w:r>
      <w:r>
        <w:rPr>
          <w:rFonts w:hint="eastAsia"/>
        </w:rPr>
        <w:t>總的來看，就是加大了監管合規力度和要求。其主要動機就是彌補</w:t>
      </w:r>
      <w:r>
        <w:rPr>
          <w:rFonts w:hint="eastAsia"/>
          <w:lang w:eastAsia="zh-TW"/>
        </w:rPr>
        <w:t>2007~2009</w:t>
      </w:r>
      <w:r>
        <w:rPr>
          <w:rFonts w:hint="eastAsia"/>
        </w:rPr>
        <w:t>年金融危機所暴露的監管缺陷和不足。</w:t>
      </w:r>
    </w:p>
    <w:p w:rsidR="002F6BD1" w:rsidRDefault="002F6BD1" w:rsidP="00537695"/>
    <w:p w:rsidR="00CB312F" w:rsidRDefault="00210463" w:rsidP="00537695">
      <w:r>
        <w:rPr>
          <w:rFonts w:hint="eastAsia"/>
          <w:lang w:eastAsia="zh-TW"/>
        </w:rPr>
        <w:t>參考資料</w:t>
      </w:r>
      <w:bookmarkStart w:id="0" w:name="_GoBack"/>
      <w:bookmarkEnd w:id="0"/>
      <w:r>
        <w:rPr>
          <w:rFonts w:hint="eastAsia"/>
          <w:lang w:eastAsia="zh-TW"/>
        </w:rPr>
        <w:t>：</w:t>
      </w:r>
      <w:r w:rsidR="002F6BD1">
        <w:rPr>
          <w:rFonts w:hint="eastAsia"/>
          <w:lang w:eastAsia="zh-TW"/>
        </w:rPr>
        <w:t>https://blog.csdn.net/weixin_43171270/article/details/102838866</w:t>
      </w:r>
    </w:p>
    <w:sectPr w:rsidR="00CB312F" w:rsidSect="006C62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87A"/>
    <w:multiLevelType w:val="hybridMultilevel"/>
    <w:tmpl w:val="6C902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95"/>
    <w:rsid w:val="00110B37"/>
    <w:rsid w:val="001165B1"/>
    <w:rsid w:val="001429A4"/>
    <w:rsid w:val="001D75BA"/>
    <w:rsid w:val="00206D20"/>
    <w:rsid w:val="00210463"/>
    <w:rsid w:val="00283D80"/>
    <w:rsid w:val="002F6BD1"/>
    <w:rsid w:val="003A18B8"/>
    <w:rsid w:val="003A3952"/>
    <w:rsid w:val="003E6156"/>
    <w:rsid w:val="00412DE4"/>
    <w:rsid w:val="004405B7"/>
    <w:rsid w:val="00464CCA"/>
    <w:rsid w:val="004948D5"/>
    <w:rsid w:val="00537695"/>
    <w:rsid w:val="00684CD3"/>
    <w:rsid w:val="00692698"/>
    <w:rsid w:val="006C6236"/>
    <w:rsid w:val="00733E4B"/>
    <w:rsid w:val="007F7A67"/>
    <w:rsid w:val="008B0D3C"/>
    <w:rsid w:val="0090322D"/>
    <w:rsid w:val="00923990"/>
    <w:rsid w:val="009A5B76"/>
    <w:rsid w:val="009B7AA4"/>
    <w:rsid w:val="00A026A3"/>
    <w:rsid w:val="00A1517B"/>
    <w:rsid w:val="00AE5E1F"/>
    <w:rsid w:val="00B2302D"/>
    <w:rsid w:val="00BF4A94"/>
    <w:rsid w:val="00CB312F"/>
    <w:rsid w:val="00CC5CB9"/>
    <w:rsid w:val="00CE7374"/>
    <w:rsid w:val="00D72954"/>
    <w:rsid w:val="00E57B9E"/>
    <w:rsid w:val="00E61930"/>
    <w:rsid w:val="00E6657C"/>
    <w:rsid w:val="00E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2D38"/>
  <w14:defaultImageDpi w14:val="32767"/>
  <w15:chartTrackingRefBased/>
  <w15:docId w15:val="{87EEB850-C60E-B24B-B346-F7E44601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5B76"/>
    <w:pPr>
      <w:spacing w:line="400" w:lineRule="exact"/>
    </w:pPr>
    <w:rPr>
      <w:rFonts w:ascii="Times" w:eastAsia="宋体" w:hAnsi="Time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695"/>
    <w:pPr>
      <w:ind w:firstLineChars="200" w:firstLine="420"/>
    </w:pPr>
  </w:style>
  <w:style w:type="character" w:styleId="a4">
    <w:name w:val="Placeholder Text"/>
    <w:basedOn w:val="a0"/>
    <w:uiPriority w:val="99"/>
    <w:semiHidden/>
    <w:rsid w:val="001D75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6270">
      <w:bodyDiv w:val="1"/>
      <w:marLeft w:val="0"/>
      <w:marRight w:val="0"/>
      <w:marTop w:val="0"/>
      <w:marBottom w:val="0"/>
      <w:divBdr>
        <w:top w:val="none" w:sz="0" w:space="0" w:color="auto"/>
        <w:left w:val="none" w:sz="0" w:space="0" w:color="auto"/>
        <w:bottom w:val="none" w:sz="0" w:space="0" w:color="auto"/>
        <w:right w:val="none" w:sz="0" w:space="0" w:color="auto"/>
      </w:divBdr>
    </w:div>
    <w:div w:id="1149324626">
      <w:bodyDiv w:val="1"/>
      <w:marLeft w:val="0"/>
      <w:marRight w:val="0"/>
      <w:marTop w:val="0"/>
      <w:marBottom w:val="0"/>
      <w:divBdr>
        <w:top w:val="none" w:sz="0" w:space="0" w:color="auto"/>
        <w:left w:val="none" w:sz="0" w:space="0" w:color="auto"/>
        <w:bottom w:val="none" w:sz="0" w:space="0" w:color="auto"/>
        <w:right w:val="none" w:sz="0" w:space="0" w:color="auto"/>
      </w:divBdr>
    </w:div>
    <w:div w:id="1166938985">
      <w:bodyDiv w:val="1"/>
      <w:marLeft w:val="0"/>
      <w:marRight w:val="0"/>
      <w:marTop w:val="0"/>
      <w:marBottom w:val="0"/>
      <w:divBdr>
        <w:top w:val="none" w:sz="0" w:space="0" w:color="auto"/>
        <w:left w:val="none" w:sz="0" w:space="0" w:color="auto"/>
        <w:bottom w:val="none" w:sz="0" w:space="0" w:color="auto"/>
        <w:right w:val="none" w:sz="0" w:space="0" w:color="auto"/>
      </w:divBdr>
    </w:div>
    <w:div w:id="1625774438">
      <w:bodyDiv w:val="1"/>
      <w:marLeft w:val="0"/>
      <w:marRight w:val="0"/>
      <w:marTop w:val="0"/>
      <w:marBottom w:val="0"/>
      <w:divBdr>
        <w:top w:val="none" w:sz="0" w:space="0" w:color="auto"/>
        <w:left w:val="none" w:sz="0" w:space="0" w:color="auto"/>
        <w:bottom w:val="none" w:sz="0" w:space="0" w:color="auto"/>
        <w:right w:val="none" w:sz="0" w:space="0" w:color="auto"/>
      </w:divBdr>
    </w:div>
    <w:div w:id="169491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2019-12-02T11:39:00Z</dcterms:created>
  <dcterms:modified xsi:type="dcterms:W3CDTF">2019-12-02T12:23:00Z</dcterms:modified>
</cp:coreProperties>
</file>