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40"/>
        <w:jc w:val="center"/>
      </w:pPr>
      <w:r>
        <w:rPr>
          <w:rFonts w:ascii="Georgia" w:cs="Georgia" w:eastAsia="Georgia" w:hAnsi="Georgia"/>
          <w:color w:val="52525B"/>
          <w:sz w:val="28"/>
          <w:szCs w:val="28"/>
        </w:rPr>
        <w:t xml:space="preserve">Transform</w:t>
      </w:r>
      <w:r>
        <w:rPr>
          <w:rFonts w:ascii="Georgia" w:cs="Georgia" w:eastAsia="Georgia" w:hAnsi="Georgia"/>
          <w:b/>
          <w:bCs/>
          <w:color w:val="7A7AE6"/>
          <w:sz w:val="28"/>
          <w:szCs w:val="28"/>
        </w:rPr>
        <w:t xml:space="preserve">AZ</w:t>
      </w:r>
    </w:p>
    <w:p>
      <w:pPr>
        <w:spacing w:after="20"/>
        <w:jc w:val="center"/>
      </w:pPr>
      <w:r>
        <w:rPr>
          <w:rFonts w:ascii="Consolas" w:cs="Consolas" w:eastAsia="Consolas" w:hAnsi="Consolas"/>
          <w:color w:val="A1A1AA"/>
          <w:sz w:val="14"/>
          <w:szCs w:val="14"/>
        </w:rPr>
        <w:t xml:space="preserve">────────────────────────────────────────</w:t>
      </w:r>
    </w:p>
    <w:p>
      <w:pPr>
        <w:spacing w:after="200"/>
        <w:jc w:val="center"/>
      </w:pPr>
      <w:r>
        <w:rPr>
          <w:rFonts w:ascii="Georgia" w:cs="Georgia" w:eastAsia="Georgia" w:hAnsi="Georgia"/>
          <w:b/>
          <w:bCs/>
          <w:sz w:val="48"/>
          <w:szCs w:val="48"/>
        </w:rPr>
        <w:t xml:space="preserve">Building the Digital Backbone</w:t>
      </w:r>
    </w:p>
    <w:p>
      <w:pPr>
        <w:spacing w:after="300"/>
        <w:jc w:val="center"/>
      </w:pPr>
      <w:r>
        <w:rPr>
          <w:rFonts w:ascii="Georgia" w:cs="Georgia" w:eastAsia="Georgia" w:hAnsi="Georgia"/>
          <w:color w:val="52525B"/>
          <w:sz w:val="28"/>
          <w:szCs w:val="28"/>
        </w:rPr>
        <w:t xml:space="preserve">A Transformation Strategy for Taylor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
            </w:r>
          </w:p>
        </w:tc>
        <w:tc>
          <w:tcPr>
            <w:tcW w:type="dxa" w:w="69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Client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Taylor Group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March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TAZ-TG-2026-02</w:t>
            </w:r>
          </w:p>
        </w:tc>
      </w:tr>
    </w:tbl>
    <w:p>
      <w:pPr>
        <w:spacing w:before="200"/>
      </w:pPr>
    </w:p>
    <w:p>
      <w:pPr>
        <w:spacing w:after="200"/>
        <w:jc w:val="center"/>
      </w:pPr>
      <w:r>
        <w:rPr>
          <w:rFonts w:ascii="Consolas" w:cs="Consolas" w:eastAsia="Consolas" w:hAnsi="Consolas"/>
          <w:b/>
          <w:bCs/>
          <w:color w:val="7A7AE6"/>
          <w:sz w:val="20"/>
          <w:szCs w:val="20"/>
        </w:rPr>
        <w:t xml:space="preserve">Strategic Proposal</w:t>
      </w:r>
    </w:p>
    <w:p>
      <w:r>
        <w:br w:type="page"/>
      </w:r>
    </w:p>
    <w:p>
      <w:pPr>
        <w:spacing w:after="60" w:before="120"/>
      </w:pPr>
      <w:r>
        <w:rPr>
          <w:rFonts w:ascii="Consolas" w:cs="Consolas" w:eastAsia="Consolas" w:hAnsi="Consolas"/>
          <w:b/>
          <w:bCs/>
          <w:color w:val="7A7AE6"/>
          <w:sz w:val="18"/>
          <w:szCs w:val="18"/>
        </w:rPr>
        <w:t xml:space="preserve">01 — THE OPPORTUNITY</w:t>
      </w:r>
    </w:p>
    <w:p>
      <w:pPr>
        <w:pStyle w:val="Heading1"/>
        <w:spacing w:after="150" w:before="300"/>
      </w:pPr>
      <w:r>
        <w:rPr>
          <w:rFonts w:ascii="Georgia" w:cs="Georgia" w:eastAsia="Georgia" w:hAnsi="Georgia"/>
          <w:b/>
          <w:bCs/>
          <w:sz w:val="36"/>
          <w:szCs w:val="36"/>
        </w:rPr>
        <w:t xml:space="preserve">95 Years of Growth. One Moment of Strategic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95 yrs</w:t>
            </w:r>
          </w:p>
          <w:p>
            <w:pPr>
              <w:jc w:val="center"/>
            </w:pPr>
            <w:r>
              <w:rPr>
                <w:rFonts w:ascii="Consolas" w:cs="Consolas" w:eastAsia="Consolas" w:hAnsi="Consolas"/>
                <w:color w:val="52525B"/>
                <w:sz w:val="14"/>
                <w:szCs w:val="14"/>
              </w:rPr>
              <w:t xml:space="preserve">LEGACY</w:t>
            </w:r>
          </w:p>
        </w:tc>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$85M</w:t>
            </w:r>
          </w:p>
          <w:p>
            <w:pPr>
              <w:jc w:val="center"/>
            </w:pPr>
            <w:r>
              <w:rPr>
                <w:rFonts w:ascii="Consolas" w:cs="Consolas" w:eastAsia="Consolas" w:hAnsi="Consolas"/>
                <w:color w:val="52525B"/>
                <w:sz w:val="14"/>
                <w:szCs w:val="14"/>
              </w:rPr>
              <w:t xml:space="preserve">REVENUE</w:t>
            </w:r>
          </w:p>
        </w:tc>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321</w:t>
            </w:r>
          </w:p>
          <w:p>
            <w:pPr>
              <w:jc w:val="center"/>
            </w:pPr>
            <w:r>
              <w:rPr>
                <w:rFonts w:ascii="Consolas" w:cs="Consolas" w:eastAsia="Consolas" w:hAnsi="Consolas"/>
                <w:color w:val="52525B"/>
                <w:sz w:val="14"/>
                <w:szCs w:val="14"/>
              </w:rPr>
              <w:t xml:space="preserve">PEOPLE</w:t>
            </w:r>
          </w:p>
        </w:tc>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$128B</w:t>
            </w:r>
          </w:p>
          <w:p>
            <w:pPr>
              <w:jc w:val="center"/>
            </w:pPr>
            <w:r>
              <w:rPr>
                <w:rFonts w:ascii="Consolas" w:cs="Consolas" w:eastAsia="Consolas" w:hAnsi="Consolas"/>
                <w:color w:val="52525B"/>
                <w:sz w:val="14"/>
                <w:szCs w:val="14"/>
              </w:rPr>
              <w:t xml:space="preserve">MARKET SIZE</w:t>
            </w:r>
          </w:p>
        </w:tc>
      </w:tr>
    </w:tbl>
    <w:p>
      <w:pPr>
        <w:spacing w:before="120"/>
      </w:pPr>
    </w:p>
    <w:p>
      <w:pPr>
        <w:spacing w:after="160"/>
      </w:pPr>
      <w:r>
        <w:rPr>
          <w:rFonts w:ascii="Calibri" w:cs="Calibri" w:eastAsia="Calibri" w:hAnsi="Calibri"/>
          <w:color w:val="52525B"/>
          <w:sz w:val="22"/>
          <w:szCs w:val="22"/>
        </w:rPr>
        <w:t xml:space="preserve">Taylor Group has grown organically for 95 years into an enterprise-scale operation — $85M revenue, 321 people, spanning 40+ countries. But this growth has been powered by startup-era processes. That’s not a criticism; it’s a testament to the caliber of the people. The question isn’t whether Taylor has succeeded — it’s what becomes possible when you add a digital foundation to that talent.</w:t>
      </w:r>
    </w:p>
    <w:p>
      <w:pPr>
        <w:spacing w:after="160"/>
      </w:pPr>
      <w:r>
        <w:rPr>
          <w:rFonts w:ascii="Calibri" w:cs="Calibri" w:eastAsia="Calibri" w:hAnsi="Calibri"/>
          <w:color w:val="52525B"/>
          <w:sz w:val="22"/>
          <w:szCs w:val="22"/>
        </w:rPr>
        <w:t xml:space="preserve">The experiential marketing industry is at an inflection point. Global spend hit a record </w:t>
      </w:r>
      <w:r>
        <w:rPr>
          <w:rFonts w:ascii="Calibri" w:cs="Calibri" w:eastAsia="Calibri" w:hAnsi="Calibri"/>
          <w:b/>
          <w:bCs/>
          <w:sz w:val="22"/>
          <w:szCs w:val="22"/>
        </w:rPr>
        <w:t xml:space="preserve">$128B in 2024</w:t>
      </w:r>
      <w:r>
        <w:rPr>
          <w:rFonts w:ascii="Calibri" w:cs="Calibri" w:eastAsia="Calibri" w:hAnsi="Calibri"/>
          <w:color w:val="52525B"/>
          <w:sz w:val="22"/>
          <w:szCs w:val="22"/>
        </w:rPr>
        <w:t xml:space="preserve">, with 74% of Fortune 1000 marketers increasing event budgets. But the landscape is shifting: lead times that were 8 weeks are now 2 weeks. AI-powered competitors are entering the space. The companies that thrive won’t be the ones with the most people — they’ll be the ones with the smartest operations.</w:t>
      </w:r>
    </w:p>
    <w:p>
      <w:pPr>
        <w:spacing w:after="160"/>
      </w:pPr>
      <w:r>
        <w:rPr>
          <w:rFonts w:ascii="Calibri" w:cs="Calibri" w:eastAsia="Calibri" w:hAnsi="Calibri"/>
          <w:color w:val="52525B"/>
          <w:sz w:val="22"/>
          <w:szCs w:val="22"/>
        </w:rPr>
        <w:t xml:space="preserve">The tools are already in place. ClickUp, Gemini, Microsoft 365 — Taylor has invested in the technology. But without a unified strategy, these tools sit dormant. The investment has been made; the return hasn’t been realized.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45309" w:sz="6"/>
              <w:bottom w:val="single" w:color="CCCCCC" w:sz="1"/>
              <w:right w:val="single" w:color="CCCCCC" w:sz="1"/>
            </w:tcBorders>
            <w:shd w:fill="FFFBEB" w:val="clear"/>
            <w:tcMar>
              <w:top w:type="dxa" w:w="120"/>
              <w:left w:type="dxa" w:w="200"/>
              <w:bottom w:type="dxa" w:w="120"/>
              <w:right w:type="dxa" w:w="200"/>
            </w:tcMar>
          </w:tcPr>
          <w:p>
            <w:pPr>
              <w:spacing w:after="40"/>
            </w:pPr>
            <w:r>
              <w:rPr>
                <w:rFonts w:ascii="Consolas" w:cs="Consolas" w:eastAsia="Consolas" w:hAnsi="Consolas"/>
                <w:b/>
                <w:bCs/>
                <w:color w:val="7A7AE6"/>
                <w:sz w:val="16"/>
                <w:szCs w:val="16"/>
              </w:rPr>
              <w:t xml:space="preserve">THE COST OF WAITING</w:t>
            </w:r>
          </w:p>
          <w:p>
            <w:pPr>
              <w:spacing w:after="160"/>
            </w:pPr>
            <w:r>
              <w:rPr>
                <w:rFonts w:ascii="Calibri" w:cs="Calibri" w:eastAsia="Calibri" w:hAnsi="Calibri"/>
                <w:color w:val="52525B"/>
                <w:sz w:val="22"/>
                <w:szCs w:val="22"/>
              </w:rPr>
              <w:t xml:space="preserve">Every quarter without a unified digital strategy: Redundant asset fabrication — $125K–$300K per quarter. Sales↔production misalignment compounds with every new market. Freeman, GPJ, Jack Morton already operationalizing AI. ClickUp, Gemini, M365 investments depreciating without activation.</w:t>
            </w:r>
          </w:p>
        </w:tc>
      </w:tr>
    </w:tbl>
    <w:p>
      <w:r>
        <w:br w:type="page"/>
      </w:r>
    </w:p>
    <w:p>
      <w:pPr>
        <w:spacing w:after="60" w:before="400"/>
        <w:jc w:val="center"/>
      </w:pPr>
      <w:r>
        <w:rPr>
          <w:rFonts w:ascii="Georgia" w:cs="Georgia" w:eastAsia="Georgia" w:hAnsi="Georgia"/>
          <w:i/>
          <w:iCs/>
          <w:color w:val="7A7AE6"/>
          <w:sz w:val="28"/>
          <w:szCs w:val="28"/>
        </w:rPr>
        <w:t xml:space="preserve">“We probably have somewhere between $20 and $30 million worth of assets in our warehouses. And honestly, I couldn’t tell you exactly what we have.”</w:t>
      </w:r>
    </w:p>
    <w:p>
      <w:pPr>
        <w:spacing w:after="400"/>
        <w:jc w:val="center"/>
      </w:pPr>
      <w:r>
        <w:rPr>
          <w:rFonts w:ascii="Consolas" w:cs="Consolas" w:eastAsia="Consolas" w:hAnsi="Consolas"/>
          <w:color w:val="52525B"/>
          <w:sz w:val="16"/>
          <w:szCs w:val="16"/>
        </w:rPr>
        <w:t xml:space="preserve">— Dean, CEO, Taylor Group</w:t>
      </w:r>
    </w:p>
    <w:p>
      <w:pPr>
        <w:spacing w:after="60" w:before="120"/>
      </w:pPr>
      <w:r>
        <w:rPr>
          <w:rFonts w:ascii="Consolas" w:cs="Consolas" w:eastAsia="Consolas" w:hAnsi="Consolas"/>
          <w:b/>
          <w:bCs/>
          <w:color w:val="7A7AE6"/>
          <w:sz w:val="18"/>
          <w:szCs w:val="18"/>
        </w:rPr>
        <w:t xml:space="preserve">02 — KEY FINDINGS</w:t>
      </w:r>
    </w:p>
    <w:p>
      <w:pPr>
        <w:pStyle w:val="Heading1"/>
        <w:spacing w:after="150" w:before="300"/>
      </w:pPr>
      <w:r>
        <w:rPr>
          <w:rFonts w:ascii="Georgia" w:cs="Georgia" w:eastAsia="Georgia" w:hAnsi="Georgia"/>
          <w:b/>
          <w:bCs/>
          <w:sz w:val="36"/>
          <w:szCs w:val="36"/>
        </w:rPr>
        <w:t xml:space="preserve">What Discovery Revealed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7A7AE6" w:sz="6"/>
              <w:bottom w:val="single" w:color="CCCCCC" w:sz="1"/>
              <w:right w:val="single" w:color="CCCCCC" w:sz="1"/>
            </w:tcBorders>
            <w:shd w:fill="EDEDFC" w:val="clear"/>
            <w:tcMar>
              <w:top w:type="dxa" w:w="120"/>
              <w:left w:type="dxa" w:w="200"/>
              <w:bottom w:type="dxa" w:w="120"/>
              <w:right w:type="dxa" w:w="200"/>
            </w:tcMar>
          </w:tcPr>
          <w:p>
            <w:pPr>
              <w:spacing w:after="160"/>
            </w:pPr>
            <w:r>
              <w:rPr>
                <w:rFonts w:ascii="Calibri" w:cs="Calibri" w:eastAsia="Calibri" w:hAnsi="Calibri"/>
                <w:color w:val="52525B"/>
                <w:sz w:val="22"/>
                <w:szCs w:val="22"/>
              </w:rPr>
              <w:t xml:space="preserve">Aggregate Estimated Impact: </w:t>
            </w:r>
            <w:r>
              <w:rPr>
                <w:rFonts w:ascii="Calibri" w:cs="Calibri" w:eastAsia="Calibri" w:hAnsi="Calibri"/>
                <w:b/>
                <w:bCs/>
                <w:sz w:val="22"/>
                <w:szCs w:val="22"/>
              </w:rPr>
              <w:t xml:space="preserve">$1.4M – $2.85M annually</w:t>
            </w:r>
          </w:p>
        </w:tc>
      </w:tr>
    </w:tbl>
    <w:p>
      <w:pPr>
        <w:spacing w:before="60"/>
      </w:pPr>
    </w:p>
    <w:p>
      <w:pPr>
        <w:spacing w:after="160"/>
      </w:pPr>
      <w:r>
        <w:rPr>
          <w:rFonts w:ascii="Calibri" w:cs="Calibri" w:eastAsia="Calibri" w:hAnsi="Calibri"/>
          <w:color w:val="52525B"/>
          <w:sz w:val="22"/>
          <w:szCs w:val="22"/>
        </w:rPr>
        <w:t xml:space="preserve">Six patterns emerged from our conversations with Dean, Mike, and the leadership team.</w:t>
      </w:r>
    </w:p>
    <w:p>
      <w:pPr>
        <w:spacing w:after="40" w:before="200"/>
      </w:pPr>
      <w:r>
        <w:rPr>
          <w:rFonts w:ascii="Calibri" w:cs="Calibri" w:eastAsia="Calibri" w:hAnsi="Calibri"/>
          <w:b/>
          <w:bCs/>
          <w:sz w:val="24"/>
          <w:szCs w:val="24"/>
        </w:rPr>
        <w:t xml:space="preserve">1. Asset Management Blind Spot</w:t>
      </w:r>
      <w:r>
        <w:rPr>
          <w:rFonts w:ascii="Consolas" w:cs="Consolas" w:eastAsia="Consolas" w:hAnsi="Consolas"/>
          <w:color w:val="DC2626"/>
          <w:sz w:val="16"/>
          <w:szCs w:val="16"/>
        </w:rPr>
        <w:t xml:space="preserve">  [HIGH IMPACT]</w:t>
      </w:r>
    </w:p>
    <w:p>
      <w:pPr>
        <w:spacing w:after="60"/>
      </w:pPr>
      <w:r>
        <w:rPr>
          <w:rFonts w:ascii="Consolas" w:cs="Consolas" w:eastAsia="Consolas" w:hAnsi="Consolas"/>
          <w:b/>
          <w:bCs/>
          <w:color w:val="DC2626"/>
          <w:sz w:val="18"/>
          <w:szCs w:val="18"/>
        </w:rPr>
        <w:t xml:space="preserve">$500K – $1.2M / year</w:t>
      </w:r>
    </w:p>
    <w:p>
      <w:pPr>
        <w:spacing w:after="60"/>
        <w:ind w:left="360"/>
      </w:pPr>
      <w:r>
        <w:rPr>
          <w:rFonts w:ascii="Georgia" w:cs="Georgia" w:eastAsia="Georgia" w:hAnsi="Georgia"/>
          <w:i/>
          <w:iCs/>
          <w:color w:val="52525B"/>
          <w:sz w:val="20"/>
          <w:szCs w:val="20"/>
        </w:rPr>
        <w:t xml:space="preserve">“We probably have somewhere between $20 and $30 million worth of assets in our warehouses. And honestly, I couldn’t tell you exactly what we have.”</w:t>
      </w:r>
      <w:r>
        <w:rPr>
          <w:rFonts w:ascii="Consolas" w:cs="Consolas" w:eastAsia="Consolas" w:hAnsi="Consolas"/>
          <w:color w:val="A1A1AA"/>
          <w:sz w:val="16"/>
          <w:szCs w:val="16"/>
        </w:rPr>
        <w:t xml:space="preserve"> — Dean</w:t>
      </w:r>
    </w:p>
    <w:p>
      <w:pPr>
        <w:spacing w:after="160"/>
      </w:pPr>
      <w:r>
        <w:rPr>
          <w:rFonts w:ascii="Calibri" w:cs="Calibri" w:eastAsia="Calibri" w:hAnsi="Calibri"/>
          <w:color w:val="52525B"/>
          <w:sz w:val="22"/>
          <w:szCs w:val="22"/>
        </w:rPr>
        <w:t xml:space="preserve">Without centralized asset tracking, teams rebuild what already exists across three warehouses and 40+ countries.</w:t>
      </w:r>
    </w:p>
    <w:p>
      <w:pPr>
        <w:spacing w:after="60"/>
      </w:pPr>
      <w:r>
        <w:rPr>
          <w:rFonts w:ascii="Consolas" w:cs="Consolas" w:eastAsia="Consolas" w:hAnsi="Consolas"/>
          <w:b/>
          <w:bCs/>
          <w:color w:val="B45309"/>
          <w:sz w:val="16"/>
          <w:szCs w:val="16"/>
        </w:rPr>
        <w:t xml:space="preserve">ANNUAL IMPACT: </w:t>
      </w:r>
      <w:r>
        <w:rPr>
          <w:rFonts w:ascii="Calibri" w:cs="Calibri" w:eastAsia="Calibri" w:hAnsi="Calibri"/>
          <w:color w:val="52525B"/>
          <w:sz w:val="20"/>
          <w:szCs w:val="20"/>
        </w:rPr>
        <w:t xml:space="preserve">$500K – $1.2M in redundant fabrication, lost assets, and missed reuse.</w:t>
      </w:r>
    </w:p>
    <w:p>
      <w:pPr>
        <w:spacing w:after="40" w:before="200"/>
      </w:pPr>
      <w:r>
        <w:rPr>
          <w:rFonts w:ascii="Calibri" w:cs="Calibri" w:eastAsia="Calibri" w:hAnsi="Calibri"/>
          <w:b/>
          <w:bCs/>
          <w:sz w:val="24"/>
          <w:szCs w:val="24"/>
        </w:rPr>
        <w:t xml:space="preserve">2. Sales ↔ Production Disconnect</w:t>
      </w:r>
      <w:r>
        <w:rPr>
          <w:rFonts w:ascii="Consolas" w:cs="Consolas" w:eastAsia="Consolas" w:hAnsi="Consolas"/>
          <w:color w:val="DC2626"/>
          <w:sz w:val="16"/>
          <w:szCs w:val="16"/>
        </w:rPr>
        <w:t xml:space="preserve">  [HIGH IMPACT]</w:t>
      </w:r>
    </w:p>
    <w:p>
      <w:pPr>
        <w:spacing w:after="60"/>
      </w:pPr>
      <w:r>
        <w:rPr>
          <w:rFonts w:ascii="Consolas" w:cs="Consolas" w:eastAsia="Consolas" w:hAnsi="Consolas"/>
          <w:b/>
          <w:bCs/>
          <w:color w:val="DC2626"/>
          <w:sz w:val="18"/>
          <w:szCs w:val="18"/>
        </w:rPr>
        <w:t xml:space="preserve">$400K – $800K / year</w:t>
      </w:r>
    </w:p>
    <w:p>
      <w:pPr>
        <w:spacing w:after="60"/>
        <w:ind w:left="360"/>
      </w:pPr>
      <w:r>
        <w:rPr>
          <w:rFonts w:ascii="Georgia" w:cs="Georgia" w:eastAsia="Georgia" w:hAnsi="Georgia"/>
          <w:i/>
          <w:iCs/>
          <w:color w:val="52525B"/>
          <w:sz w:val="20"/>
          <w:szCs w:val="20"/>
        </w:rPr>
        <w:t xml:space="preserve">“Sales will sell something and then production finds out and goes, ‘Wait, we can’t do that in that timeline.’”</w:t>
      </w:r>
      <w:r>
        <w:rPr>
          <w:rFonts w:ascii="Consolas" w:cs="Consolas" w:eastAsia="Consolas" w:hAnsi="Consolas"/>
          <w:color w:val="A1A1AA"/>
          <w:sz w:val="16"/>
          <w:szCs w:val="16"/>
        </w:rPr>
        <w:t xml:space="preserve"> — Dean</w:t>
      </w:r>
    </w:p>
    <w:p>
      <w:pPr>
        <w:spacing w:after="160"/>
      </w:pPr>
      <w:r>
        <w:rPr>
          <w:rFonts w:ascii="Calibri" w:cs="Calibri" w:eastAsia="Calibri" w:hAnsi="Calibri"/>
          <w:color w:val="52525B"/>
          <w:sz w:val="22"/>
          <w:szCs w:val="22"/>
        </w:rPr>
        <w:t xml:space="preserve">Sales operates without visibility into production capacity, leading to over-promises and margin erosion.</w:t>
      </w:r>
    </w:p>
    <w:p>
      <w:pPr>
        <w:spacing w:after="60"/>
      </w:pPr>
      <w:r>
        <w:rPr>
          <w:rFonts w:ascii="Consolas" w:cs="Consolas" w:eastAsia="Consolas" w:hAnsi="Consolas"/>
          <w:b/>
          <w:bCs/>
          <w:color w:val="B45309"/>
          <w:sz w:val="16"/>
          <w:szCs w:val="16"/>
        </w:rPr>
        <w:t xml:space="preserve">ANNUAL IMPACT: </w:t>
      </w:r>
      <w:r>
        <w:rPr>
          <w:rFonts w:ascii="Calibri" w:cs="Calibri" w:eastAsia="Calibri" w:hAnsi="Calibri"/>
          <w:color w:val="52525B"/>
          <w:sz w:val="20"/>
          <w:szCs w:val="20"/>
        </w:rPr>
        <w:t xml:space="preserve">$400K – $800K in rush costs, rework, and margin compression.</w:t>
      </w:r>
    </w:p>
    <w:p>
      <w:pPr>
        <w:spacing w:after="40" w:before="200"/>
      </w:pPr>
      <w:r>
        <w:rPr>
          <w:rFonts w:ascii="Calibri" w:cs="Calibri" w:eastAsia="Calibri" w:hAnsi="Calibri"/>
          <w:b/>
          <w:bCs/>
          <w:sz w:val="24"/>
          <w:szCs w:val="24"/>
        </w:rPr>
        <w:t xml:space="preserve">3. Executive Time Drain</w:t>
      </w:r>
      <w:r>
        <w:rPr>
          <w:rFonts w:ascii="Consolas" w:cs="Consolas" w:eastAsia="Consolas" w:hAnsi="Consolas"/>
          <w:color w:val="B45309"/>
          <w:sz w:val="16"/>
          <w:szCs w:val="16"/>
        </w:rPr>
        <w:t xml:space="preserve">  [MEDIUM IMPACT]</w:t>
      </w:r>
    </w:p>
    <w:p>
      <w:pPr>
        <w:spacing w:after="60"/>
      </w:pPr>
      <w:r>
        <w:rPr>
          <w:rFonts w:ascii="Consolas" w:cs="Consolas" w:eastAsia="Consolas" w:hAnsi="Consolas"/>
          <w:b/>
          <w:bCs/>
          <w:color w:val="B45309"/>
          <w:sz w:val="18"/>
          <w:szCs w:val="18"/>
        </w:rPr>
        <w:t xml:space="preserve">$225K – $300K / year</w:t>
      </w:r>
    </w:p>
    <w:p>
      <w:pPr>
        <w:spacing w:after="60"/>
        <w:ind w:left="360"/>
      </w:pPr>
      <w:r>
        <w:rPr>
          <w:rFonts w:ascii="Georgia" w:cs="Georgia" w:eastAsia="Georgia" w:hAnsi="Georgia"/>
          <w:i/>
          <w:iCs/>
          <w:color w:val="52525B"/>
          <w:sz w:val="20"/>
          <w:szCs w:val="20"/>
        </w:rPr>
        <w:t xml:space="preserve">“I get 400 to 500 emails a day. I’d say 70% are CCs where I don’t really need to be included.”</w:t>
      </w:r>
      <w:r>
        <w:rPr>
          <w:rFonts w:ascii="Consolas" w:cs="Consolas" w:eastAsia="Consolas" w:hAnsi="Consolas"/>
          <w:color w:val="A1A1AA"/>
          <w:sz w:val="16"/>
          <w:szCs w:val="16"/>
        </w:rPr>
        <w:t xml:space="preserve"> — Dean</w:t>
      </w:r>
    </w:p>
    <w:p>
      <w:pPr>
        <w:spacing w:after="60"/>
      </w:pPr>
      <w:r>
        <w:rPr>
          <w:rFonts w:ascii="Consolas" w:cs="Consolas" w:eastAsia="Consolas" w:hAnsi="Consolas"/>
          <w:b/>
          <w:bCs/>
          <w:color w:val="B45309"/>
          <w:sz w:val="16"/>
          <w:szCs w:val="16"/>
        </w:rPr>
        <w:t xml:space="preserve">ANNUAL IMPACT: </w:t>
      </w:r>
      <w:r>
        <w:rPr>
          <w:rFonts w:ascii="Calibri" w:cs="Calibri" w:eastAsia="Calibri" w:hAnsi="Calibri"/>
          <w:color w:val="52525B"/>
          <w:sz w:val="20"/>
          <w:szCs w:val="20"/>
        </w:rPr>
        <w:t xml:space="preserve">$225K – $300K in executive productivity lost to communication overhead.</w:t>
      </w:r>
    </w:p>
    <w:p>
      <w:pPr>
        <w:spacing w:after="40" w:before="200"/>
      </w:pPr>
      <w:r>
        <w:rPr>
          <w:rFonts w:ascii="Calibri" w:cs="Calibri" w:eastAsia="Calibri" w:hAnsi="Calibri"/>
          <w:b/>
          <w:bCs/>
          <w:sz w:val="24"/>
          <w:szCs w:val="24"/>
        </w:rPr>
        <w:t xml:space="preserve">4. Dormant AI Investment</w:t>
      </w:r>
      <w:r>
        <w:rPr>
          <w:rFonts w:ascii="Consolas" w:cs="Consolas" w:eastAsia="Consolas" w:hAnsi="Consolas"/>
          <w:color w:val="B45309"/>
          <w:sz w:val="16"/>
          <w:szCs w:val="16"/>
        </w:rPr>
        <w:t xml:space="preserve">  [MEDIUM IMPACT]</w:t>
      </w:r>
    </w:p>
    <w:p>
      <w:pPr>
        <w:spacing w:after="60"/>
      </w:pPr>
      <w:r>
        <w:rPr>
          <w:rFonts w:ascii="Consolas" w:cs="Consolas" w:eastAsia="Consolas" w:hAnsi="Consolas"/>
          <w:b/>
          <w:bCs/>
          <w:color w:val="B45309"/>
          <w:sz w:val="18"/>
          <w:szCs w:val="18"/>
        </w:rPr>
        <w:t xml:space="preserve">$75K – $150K / year</w:t>
      </w:r>
    </w:p>
    <w:p>
      <w:pPr>
        <w:spacing w:after="60"/>
        <w:ind w:left="360"/>
      </w:pPr>
      <w:r>
        <w:rPr>
          <w:rFonts w:ascii="Georgia" w:cs="Georgia" w:eastAsia="Georgia" w:hAnsi="Georgia"/>
          <w:i/>
          <w:iCs/>
          <w:color w:val="52525B"/>
          <w:sz w:val="20"/>
          <w:szCs w:val="20"/>
        </w:rPr>
        <w:t xml:space="preserve">“We’re paying for ClickUp Brain but nobody’s really using it.”</w:t>
      </w:r>
      <w:r>
        <w:rPr>
          <w:rFonts w:ascii="Consolas" w:cs="Consolas" w:eastAsia="Consolas" w:hAnsi="Consolas"/>
          <w:color w:val="A1A1AA"/>
          <w:sz w:val="16"/>
          <w:szCs w:val="16"/>
        </w:rPr>
        <w:t xml:space="preserve"> — Mike</w:t>
      </w:r>
    </w:p>
    <w:p>
      <w:pPr>
        <w:spacing w:after="60"/>
      </w:pPr>
      <w:r>
        <w:rPr>
          <w:rFonts w:ascii="Consolas" w:cs="Consolas" w:eastAsia="Consolas" w:hAnsi="Consolas"/>
          <w:b/>
          <w:bCs/>
          <w:color w:val="B45309"/>
          <w:sz w:val="16"/>
          <w:szCs w:val="16"/>
        </w:rPr>
        <w:t xml:space="preserve">ANNUAL IMPACT: </w:t>
      </w:r>
      <w:r>
        <w:rPr>
          <w:rFonts w:ascii="Calibri" w:cs="Calibri" w:eastAsia="Calibri" w:hAnsi="Calibri"/>
          <w:color w:val="52525B"/>
          <w:sz w:val="20"/>
          <w:szCs w:val="20"/>
        </w:rPr>
        <w:t xml:space="preserve">$75K – $150K in unrealized productivity gains from tools already purchased.</w:t>
      </w:r>
    </w:p>
    <w:p>
      <w:pPr>
        <w:spacing w:after="40" w:before="200"/>
      </w:pPr>
      <w:r>
        <w:rPr>
          <w:rFonts w:ascii="Calibri" w:cs="Calibri" w:eastAsia="Calibri" w:hAnsi="Calibri"/>
          <w:b/>
          <w:bCs/>
          <w:sz w:val="24"/>
          <w:szCs w:val="24"/>
        </w:rPr>
        <w:t xml:space="preserve">5. Generational Adoption Gap</w:t>
      </w:r>
      <w:r>
        <w:rPr>
          <w:rFonts w:ascii="Consolas" w:cs="Consolas" w:eastAsia="Consolas" w:hAnsi="Consolas"/>
          <w:color w:val="2563EB"/>
          <w:sz w:val="16"/>
          <w:szCs w:val="16"/>
        </w:rPr>
        <w:t xml:space="preserve">  [STRATEGIC]</w:t>
      </w:r>
    </w:p>
    <w:p>
      <w:pPr>
        <w:spacing w:after="60"/>
      </w:pPr>
      <w:r>
        <w:rPr>
          <w:rFonts w:ascii="Consolas" w:cs="Consolas" w:eastAsia="Consolas" w:hAnsi="Consolas"/>
          <w:b/>
          <w:bCs/>
          <w:color w:val="2563EB"/>
          <w:sz w:val="18"/>
          <w:szCs w:val="18"/>
        </w:rPr>
        <w:t xml:space="preserve">6-month delay = 2x cost</w:t>
      </w:r>
    </w:p>
    <w:p>
      <w:pPr>
        <w:spacing w:after="60"/>
        <w:ind w:left="360"/>
      </w:pPr>
      <w:r>
        <w:rPr>
          <w:rFonts w:ascii="Georgia" w:cs="Georgia" w:eastAsia="Georgia" w:hAnsi="Georgia"/>
          <w:i/>
          <w:iCs/>
          <w:color w:val="52525B"/>
          <w:sz w:val="20"/>
          <w:szCs w:val="20"/>
        </w:rPr>
        <w:t xml:space="preserve">“The younger employees pick things up instantly. Some of our senior people... it’s a harder conversation.”</w:t>
      </w:r>
      <w:r>
        <w:rPr>
          <w:rFonts w:ascii="Consolas" w:cs="Consolas" w:eastAsia="Consolas" w:hAnsi="Consolas"/>
          <w:color w:val="A1A1AA"/>
          <w:sz w:val="16"/>
          <w:szCs w:val="16"/>
        </w:rPr>
        <w:t xml:space="preserve"> — Dean</w:t>
      </w:r>
    </w:p>
    <w:p>
      <w:pPr>
        <w:spacing w:after="60"/>
      </w:pPr>
      <w:r>
        <w:rPr>
          <w:rFonts w:ascii="Consolas" w:cs="Consolas" w:eastAsia="Consolas" w:hAnsi="Consolas"/>
          <w:b/>
          <w:bCs/>
          <w:color w:val="B45309"/>
          <w:sz w:val="16"/>
          <w:szCs w:val="16"/>
        </w:rPr>
        <w:t xml:space="preserve">ANNUAL IMPACT: </w:t>
      </w:r>
      <w:r>
        <w:rPr>
          <w:rFonts w:ascii="Calibri" w:cs="Calibri" w:eastAsia="Calibri" w:hAnsi="Calibri"/>
          <w:color w:val="52525B"/>
          <w:sz w:val="20"/>
          <w:szCs w:val="20"/>
        </w:rPr>
        <w:t xml:space="preserve">Every month of delayed adoption costs momentum. 6-month delays double transformation costs.</w:t>
      </w:r>
    </w:p>
    <w:p>
      <w:pPr>
        <w:spacing w:after="40" w:before="200"/>
      </w:pPr>
      <w:r>
        <w:rPr>
          <w:rFonts w:ascii="Calibri" w:cs="Calibri" w:eastAsia="Calibri" w:hAnsi="Calibri"/>
          <w:b/>
          <w:bCs/>
          <w:sz w:val="24"/>
          <w:szCs w:val="24"/>
        </w:rPr>
        <w:t xml:space="preserve">6. Missing Strategic Tech Layer</w:t>
      </w:r>
      <w:r>
        <w:rPr>
          <w:rFonts w:ascii="Consolas" w:cs="Consolas" w:eastAsia="Consolas" w:hAnsi="Consolas"/>
          <w:color w:val="2563EB"/>
          <w:sz w:val="16"/>
          <w:szCs w:val="16"/>
        </w:rPr>
        <w:t xml:space="preserve">  [STRATEGIC]</w:t>
      </w:r>
    </w:p>
    <w:p>
      <w:pPr>
        <w:spacing w:after="60"/>
      </w:pPr>
      <w:r>
        <w:rPr>
          <w:rFonts w:ascii="Consolas" w:cs="Consolas" w:eastAsia="Consolas" w:hAnsi="Consolas"/>
          <w:b/>
          <w:bCs/>
          <w:color w:val="2563EB"/>
          <w:sz w:val="18"/>
          <w:szCs w:val="18"/>
        </w:rPr>
        <w:t xml:space="preserve">$200K – $400K / year</w:t>
      </w:r>
    </w:p>
    <w:p>
      <w:pPr>
        <w:spacing w:after="60"/>
        <w:ind w:left="360"/>
      </w:pPr>
      <w:r>
        <w:rPr>
          <w:rFonts w:ascii="Georgia" w:cs="Georgia" w:eastAsia="Georgia" w:hAnsi="Georgia"/>
          <w:i/>
          <w:iCs/>
          <w:color w:val="52525B"/>
          <w:sz w:val="20"/>
          <w:szCs w:val="20"/>
        </w:rPr>
        <w:t xml:space="preserve">“We don’t have a CTO. We’ve never had someone whose job is to look at all of this holistically.”</w:t>
      </w:r>
      <w:r>
        <w:rPr>
          <w:rFonts w:ascii="Consolas" w:cs="Consolas" w:eastAsia="Consolas" w:hAnsi="Consolas"/>
          <w:color w:val="A1A1AA"/>
          <w:sz w:val="16"/>
          <w:szCs w:val="16"/>
        </w:rPr>
        <w:t xml:space="preserve"> — Dean</w:t>
      </w:r>
    </w:p>
    <w:p>
      <w:pPr>
        <w:spacing w:after="60"/>
      </w:pPr>
      <w:r>
        <w:rPr>
          <w:rFonts w:ascii="Consolas" w:cs="Consolas" w:eastAsia="Consolas" w:hAnsi="Consolas"/>
          <w:b/>
          <w:bCs/>
          <w:color w:val="B45309"/>
          <w:sz w:val="16"/>
          <w:szCs w:val="16"/>
        </w:rPr>
        <w:t xml:space="preserve">ANNUAL IMPACT: </w:t>
      </w:r>
      <w:r>
        <w:rPr>
          <w:rFonts w:ascii="Calibri" w:cs="Calibri" w:eastAsia="Calibri" w:hAnsi="Calibri"/>
          <w:color w:val="52525B"/>
          <w:sz w:val="20"/>
          <w:szCs w:val="20"/>
        </w:rPr>
        <w:t xml:space="preserve">$200K – $400K in duplicated tools, unused licenses, integration workarounds.</w:t>
      </w:r>
    </w:p>
    <w:p>
      <w:r>
        <w:br w:type="page"/>
      </w:r>
    </w:p>
    <w:p>
      <w:pPr>
        <w:spacing w:after="400" w:before="400"/>
        <w:jc w:val="center"/>
      </w:pPr>
      <w:r>
        <w:rPr>
          <w:rFonts w:ascii="Georgia" w:cs="Georgia" w:eastAsia="Georgia" w:hAnsi="Georgia"/>
          <w:i/>
          <w:iCs/>
          <w:color w:val="7A7AE6"/>
          <w:sz w:val="28"/>
          <w:szCs w:val="28"/>
        </w:rPr>
        <w:t xml:space="preserve">“Not new software. New connective tissue.”</w:t>
      </w:r>
    </w:p>
    <w:p>
      <w:pPr>
        <w:spacing w:after="60" w:before="120"/>
      </w:pPr>
      <w:r>
        <w:rPr>
          <w:rFonts w:ascii="Consolas" w:cs="Consolas" w:eastAsia="Consolas" w:hAnsi="Consolas"/>
          <w:b/>
          <w:bCs/>
          <w:color w:val="7A7AE6"/>
          <w:sz w:val="18"/>
          <w:szCs w:val="18"/>
        </w:rPr>
        <w:t xml:space="preserve">03 — THE DIGITAL BACKBONE</w:t>
      </w:r>
    </w:p>
    <w:p>
      <w:pPr>
        <w:pStyle w:val="Heading1"/>
        <w:spacing w:after="150" w:before="300"/>
      </w:pPr>
      <w:r>
        <w:rPr>
          <w:rFonts w:ascii="Georgia" w:cs="Georgia" w:eastAsia="Georgia" w:hAnsi="Georgia"/>
          <w:b/>
          <w:bCs/>
          <w:sz w:val="36"/>
          <w:szCs w:val="36"/>
        </w:rPr>
        <w:t xml:space="preserve">One Connected Operation</w:t>
      </w:r>
    </w:p>
    <w:p>
      <w:pPr>
        <w:spacing w:after="160"/>
      </w:pPr>
      <w:r>
        <w:rPr>
          <w:rFonts w:ascii="Calibri" w:cs="Calibri" w:eastAsia="Calibri" w:hAnsi="Calibri"/>
          <w:color w:val="52525B"/>
          <w:sz w:val="22"/>
          <w:szCs w:val="22"/>
        </w:rPr>
        <w:t xml:space="preserve">Think of the Digital Backbone as the nervous system of Taylor Group’s operation. It connects every part of Taylor’s business: sales, production, assets, communication, and decisions. Information flows seamlessly. Production capacity is visible to sales in real time. Assets are tracked and reusable. AI amplifies human talent rather than replacing it.</w:t>
      </w:r>
    </w:p>
    <w:p>
      <w:pPr>
        <w:spacing w:after="160"/>
      </w:pPr>
      <w:r>
        <w:rPr>
          <w:rFonts w:ascii="Calibri" w:cs="Calibri" w:eastAsia="Calibri" w:hAnsi="Calibri"/>
          <w:color w:val="52525B"/>
          <w:sz w:val="22"/>
          <w:szCs w:val="22"/>
        </w:rPr>
        <w:t xml:space="preserve">Critically, the Digital Backbone is built on what Taylor already owns. This isn’t about buying new software. It’s about activating what’s there, connecting what’s siloed, and adding the intelligence layer that turns tools into a system.</w:t>
      </w:r>
    </w:p>
    <w:p>
      <w:pPr>
        <w:pStyle w:val="Heading2"/>
        <w:spacing w:after="150" w:before="300"/>
      </w:pPr>
      <w:r>
        <w:rPr>
          <w:rFonts w:ascii="Georgia" w:cs="Georgia" w:eastAsia="Georgia" w:hAnsi="Georgia"/>
          <w:b/>
          <w:bCs/>
          <w:sz w:val="28"/>
          <w:szCs w:val="28"/>
        </w:rPr>
        <w:t xml:space="preserve">Five Dimensions Across Every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Dimension</w:t>
            </w:r>
          </w:p>
        </w:tc>
        <w:tc>
          <w:tcPr>
            <w:tcW w:type="dxa" w:w="67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People &amp; Culture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Segmented adoption paths for executives, operations, and creative teams. Internal champions program. Skills development roadmap. Culture-first change management.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Processes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SOP modernization. Sales-to-production alignment with real-time capacity visibility. Asset management lifecycle. Cross-office standardization.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Tech Integrations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ClickUp architecture optimization + Brain activation. Gemini integration. Automation engine (10–15 priority workflows). Global Core ↔ Operations tool alignment.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Asset inventory intelligence. Production capacity data. Project profitability tracking. Executive dashboards. Performance feedback loops.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Compliance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AI governance policy. Data handling standards. IP protection strategy. Regulatory readiness for pharma and healthcare clients.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7A7AE6" w:sz="6"/>
              <w:bottom w:val="single" w:color="CCCCCC" w:sz="1"/>
              <w:right w:val="single" w:color="CCCCCC" w:sz="1"/>
            </w:tcBorders>
            <w:shd w:fill="EDEDFC" w:val="clear"/>
            <w:tcMar>
              <w:top w:type="dxa" w:w="120"/>
              <w:left w:type="dxa" w:w="200"/>
              <w:bottom w:type="dxa" w:w="120"/>
              <w:right w:type="dxa" w:w="200"/>
            </w:tcMar>
          </w:tcPr>
          <w:p>
            <w:pPr>
              <w:spacing w:after="160"/>
            </w:pPr>
            <w:r>
              <w:rPr>
                <w:rFonts w:ascii="Calibri" w:cs="Calibri" w:eastAsia="Calibri" w:hAnsi="Calibri"/>
                <w:b/>
                <w:bCs/>
                <w:sz w:val="22"/>
                <w:szCs w:val="22"/>
              </w:rPr>
              <w:t xml:space="preserve">Five dimensions. Three phases. One backbone.</w:t>
            </w:r>
            <w:r>
              <w:rPr>
                <w:rFonts w:ascii="Calibri" w:cs="Calibri" w:eastAsia="Calibri" w:hAnsi="Calibri"/>
                <w:color w:val="52525B"/>
                <w:sz w:val="22"/>
                <w:szCs w:val="22"/>
              </w:rPr>
              <w:t xml:space="preserve"> The Digital Backbone makes Taylor more informed in Create, more coordinated in Build, and more governed in Execute.</w:t>
            </w:r>
          </w:p>
        </w:tc>
      </w:tr>
    </w:tbl>
    <w:p>
      <w:r>
        <w:br w:type="page"/>
      </w:r>
    </w:p>
    <w:p>
      <w:pPr>
        <w:pStyle w:val="Heading2"/>
        <w:spacing w:after="150" w:before="300"/>
      </w:pPr>
      <w:r>
        <w:rPr>
          <w:rFonts w:ascii="Georgia" w:cs="Georgia" w:eastAsia="Georgia" w:hAnsi="Georgia"/>
          <w:b/>
          <w:bCs/>
          <w:sz w:val="28"/>
          <w:szCs w:val="28"/>
        </w:rPr>
        <w:t xml:space="preserve">CREATE — Strategy &amp; Creative</w:t>
      </w:r>
    </w:p>
    <w:p>
      <w:pPr>
        <w:spacing w:after="160"/>
      </w:pPr>
      <w:r>
        <w:rPr>
          <w:rFonts w:ascii="Calibri" w:cs="Calibri" w:eastAsia="Calibri" w:hAnsi="Calibri"/>
          <w:color w:val="52525B"/>
          <w:sz w:val="22"/>
          <w:szCs w:val="22"/>
        </w:rPr>
        <w:t xml:space="preserve">The backbone helps teams think faster, think smarter, and create with more context. In the Create layer, ideation depends almost entirely on the individuals in the room. The backbone changes that equation.</w:t>
      </w:r>
    </w:p>
    <w:p>
      <w:pPr>
        <w:spacing w:after="40" w:before="120"/>
      </w:pPr>
      <w:r>
        <w:rPr>
          <w:rFonts w:ascii="Calibri" w:cs="Calibri" w:eastAsia="Calibri" w:hAnsi="Calibri"/>
          <w:b/>
          <w:bCs/>
          <w:color w:val="2563EB"/>
          <w:sz w:val="22"/>
          <w:szCs w:val="22"/>
        </w:rPr>
        <w:t xml:space="preserve">Strategic Intelligence</w:t>
      </w:r>
    </w:p>
    <w:p>
      <w:pPr>
        <w:spacing w:after="160"/>
      </w:pPr>
      <w:r>
        <w:rPr>
          <w:rFonts w:ascii="Calibri" w:cs="Calibri" w:eastAsia="Calibri" w:hAnsi="Calibri"/>
          <w:color w:val="52525B"/>
          <w:sz w:val="22"/>
          <w:szCs w:val="22"/>
        </w:rPr>
        <w:t xml:space="preserve">Client history, competitor activity, market trends, and prior campaign learnings available at the start of every brief. Ideation shifts from isolated inspiration to informed creative thinking.</w:t>
      </w:r>
    </w:p>
    <w:p>
      <w:pPr>
        <w:spacing w:after="40" w:before="120"/>
      </w:pPr>
      <w:r>
        <w:rPr>
          <w:rFonts w:ascii="Calibri" w:cs="Calibri" w:eastAsia="Calibri" w:hAnsi="Calibri"/>
          <w:b/>
          <w:bCs/>
          <w:color w:val="2563EB"/>
          <w:sz w:val="22"/>
          <w:szCs w:val="22"/>
        </w:rPr>
        <w:t xml:space="preserve">Creative Memory</w:t>
      </w:r>
    </w:p>
    <w:p>
      <w:pPr>
        <w:spacing w:after="160"/>
      </w:pPr>
      <w:r>
        <w:rPr>
          <w:rFonts w:ascii="Calibri" w:cs="Calibri" w:eastAsia="Calibri" w:hAnsi="Calibri"/>
          <w:color w:val="52525B"/>
          <w:sz w:val="22"/>
          <w:szCs w:val="22"/>
        </w:rPr>
        <w:t xml:space="preserve">Searchable archives of concepts, builds, and proposals. Visibility into previous ideas for similar clients or sectors. A reusable body of intellectual and creative work.</w:t>
      </w:r>
    </w:p>
    <w:p>
      <w:pPr>
        <w:spacing w:after="40" w:before="120"/>
      </w:pPr>
      <w:r>
        <w:rPr>
          <w:rFonts w:ascii="Calibri" w:cs="Calibri" w:eastAsia="Calibri" w:hAnsi="Calibri"/>
          <w:b/>
          <w:bCs/>
          <w:color w:val="2563EB"/>
          <w:sz w:val="22"/>
          <w:szCs w:val="22"/>
        </w:rPr>
        <w:t xml:space="preserve">Proposal Acceleration</w:t>
      </w:r>
    </w:p>
    <w:p>
      <w:pPr>
        <w:spacing w:after="160"/>
      </w:pPr>
      <w:r>
        <w:rPr>
          <w:rFonts w:ascii="Calibri" w:cs="Calibri" w:eastAsia="Calibri" w:hAnsi="Calibri"/>
          <w:color w:val="52525B"/>
          <w:sz w:val="22"/>
          <w:szCs w:val="22"/>
        </w:rPr>
        <w:t xml:space="preserve">Respond to opportunities faster. Assemble proposals using past materials and pricing logic. Shorten the time between brief and first strategic output.</w:t>
      </w:r>
    </w:p>
    <w:p>
      <w:pPr>
        <w:spacing w:after="40" w:before="120"/>
      </w:pPr>
      <w:r>
        <w:rPr>
          <w:rFonts w:ascii="Calibri" w:cs="Calibri" w:eastAsia="Calibri" w:hAnsi="Calibri"/>
          <w:b/>
          <w:bCs/>
          <w:color w:val="2563EB"/>
          <w:sz w:val="22"/>
          <w:szCs w:val="22"/>
        </w:rPr>
        <w:t xml:space="preserve">Better Forecasting</w:t>
      </w:r>
    </w:p>
    <w:p>
      <w:pPr>
        <w:spacing w:after="160"/>
      </w:pPr>
      <w:r>
        <w:rPr>
          <w:rFonts w:ascii="Calibri" w:cs="Calibri" w:eastAsia="Calibri" w:hAnsi="Calibri"/>
          <w:color w:val="52525B"/>
          <w:sz w:val="22"/>
          <w:szCs w:val="22"/>
        </w:rPr>
        <w:t xml:space="preserve">Early visibility into production complexity, resource intensity, delivery implications, and whether similar components already exist. Creative ambition meets operational reality.</w:t>
      </w:r>
    </w:p>
    <w:p>
      <w:pPr>
        <w:spacing w:after="40" w:before="120"/>
      </w:pPr>
      <w:r>
        <w:rPr>
          <w:rFonts w:ascii="Calibri" w:cs="Calibri" w:eastAsia="Calibri" w:hAnsi="Calibri"/>
          <w:b/>
          <w:bCs/>
          <w:color w:val="2563EB"/>
          <w:sz w:val="22"/>
          <w:szCs w:val="22"/>
        </w:rPr>
        <w:t xml:space="preserve">AI-Assisted Ideation</w:t>
      </w:r>
    </w:p>
    <w:p>
      <w:pPr>
        <w:spacing w:after="160"/>
      </w:pPr>
      <w:r>
        <w:rPr>
          <w:rFonts w:ascii="Calibri" w:cs="Calibri" w:eastAsia="Calibri" w:hAnsi="Calibri"/>
          <w:color w:val="52525B"/>
          <w:sz w:val="22"/>
          <w:szCs w:val="22"/>
        </w:rPr>
        <w:t xml:space="preserve">Concept expansion, reference generation, draft narrative support, and faster synthesis of market inputs. Not automated creativity — </w:t>
      </w:r>
      <w:r>
        <w:rPr>
          <w:rFonts w:ascii="Calibri" w:cs="Calibri" w:eastAsia="Calibri" w:hAnsi="Calibri"/>
          <w:b/>
          <w:bCs/>
          <w:sz w:val="22"/>
          <w:szCs w:val="22"/>
        </w:rPr>
        <w:t xml:space="preserve">augmented creative velocity</w:t>
      </w:r>
      <w:r>
        <w:rPr>
          <w:rFonts w:ascii="Calibri" w:cs="Calibri" w:eastAsia="Calibri" w:hAnsi="Calibri"/>
          <w:color w:val="52525B"/>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563EB" w:sz="6"/>
              <w:bottom w:val="single" w:color="CCCCCC" w:sz="1"/>
              <w:right w:val="single" w:color="CCCCCC" w:sz="1"/>
            </w:tcBorders>
            <w:shd w:fill="EFF6FF" w:val="clear"/>
            <w:tcMar>
              <w:top w:type="dxa" w:w="120"/>
              <w:left w:type="dxa" w:w="200"/>
              <w:bottom w:type="dxa" w:w="120"/>
              <w:right w:type="dxa" w:w="200"/>
            </w:tcMar>
          </w:tcPr>
          <w:p>
            <w:pPr>
              <w:spacing w:after="160"/>
            </w:pPr>
            <w:r>
              <w:rPr>
                <w:rFonts w:ascii="Calibri" w:cs="Calibri" w:eastAsia="Calibri" w:hAnsi="Calibri"/>
                <w:b/>
                <w:bCs/>
                <w:sz w:val="22"/>
                <w:szCs w:val="22"/>
              </w:rPr>
              <w:t xml:space="preserve">CREATE becomes:</w:t>
            </w:r>
            <w:r>
              <w:rPr>
                <w:rFonts w:ascii="Calibri" w:cs="Calibri" w:eastAsia="Calibri" w:hAnsi="Calibri"/>
                <w:color w:val="52525B"/>
                <w:sz w:val="22"/>
                <w:szCs w:val="22"/>
              </w:rPr>
              <w:t xml:space="preserve"> more informed, faster, more reusable, more grounded in reality, and more capable of generating quality ideas at speed.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Before</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Ideas start from scratch, proposals assembled manually, institutional knowledge lives in people’s heads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Institutional memory searchable, proposals accelerated, creative ambition grounded in operational reality</w:t>
            </w:r>
          </w:p>
        </w:tc>
      </w:tr>
    </w:tbl>
    <w:p>
      <w:r>
        <w:br w:type="page"/>
      </w:r>
    </w:p>
    <w:p>
      <w:pPr>
        <w:pStyle w:val="Heading2"/>
        <w:spacing w:after="150" w:before="300"/>
      </w:pPr>
      <w:r>
        <w:rPr>
          <w:rFonts w:ascii="Georgia" w:cs="Georgia" w:eastAsia="Georgia" w:hAnsi="Georgia"/>
          <w:b/>
          <w:bCs/>
          <w:sz w:val="28"/>
          <w:szCs w:val="28"/>
        </w:rPr>
        <w:t xml:space="preserve">BUILD — Experiences &amp; Fabrication</w:t>
      </w:r>
    </w:p>
    <w:p>
      <w:pPr>
        <w:spacing w:after="160"/>
      </w:pPr>
      <w:r>
        <w:rPr>
          <w:rFonts w:ascii="Calibri" w:cs="Calibri" w:eastAsia="Calibri" w:hAnsi="Calibri"/>
          <w:color w:val="52525B"/>
          <w:sz w:val="22"/>
          <w:szCs w:val="22"/>
        </w:rPr>
        <w:t xml:space="preserve">The backbone helps great ideas become buildable, scalable, and operationally viable. This is Taylor’s operational core — and it’s where the biggest efficiency gaps live.</w:t>
      </w:r>
    </w:p>
    <w:p>
      <w:pPr>
        <w:spacing w:after="40" w:before="120"/>
      </w:pPr>
      <w:r>
        <w:rPr>
          <w:rFonts w:ascii="Calibri" w:cs="Calibri" w:eastAsia="Calibri" w:hAnsi="Calibri"/>
          <w:b/>
          <w:bCs/>
          <w:color w:val="1A9959"/>
          <w:sz w:val="22"/>
          <w:szCs w:val="22"/>
        </w:rPr>
        <w:t xml:space="preserve">Design-to-Build Continuity</w:t>
      </w:r>
    </w:p>
    <w:p>
      <w:pPr>
        <w:spacing w:after="160"/>
      </w:pPr>
      <w:r>
        <w:rPr>
          <w:rFonts w:ascii="Calibri" w:cs="Calibri" w:eastAsia="Calibri" w:hAnsi="Calibri"/>
          <w:color w:val="52525B"/>
          <w:sz w:val="22"/>
          <w:szCs w:val="22"/>
        </w:rPr>
        <w:t xml:space="preserve">Continuity between design outputs and production inputs. Shared documentation across creative, digital, and fabrication teams. Less interpretation loss.</w:t>
      </w:r>
    </w:p>
    <w:p>
      <w:pPr>
        <w:spacing w:after="40" w:before="120"/>
      </w:pPr>
      <w:r>
        <w:rPr>
          <w:rFonts w:ascii="Calibri" w:cs="Calibri" w:eastAsia="Calibri" w:hAnsi="Calibri"/>
          <w:b/>
          <w:bCs/>
          <w:color w:val="1A9959"/>
          <w:sz w:val="22"/>
          <w:szCs w:val="22"/>
        </w:rPr>
        <w:t xml:space="preserve">Asset Intelligence</w:t>
      </w:r>
    </w:p>
    <w:p>
      <w:pPr>
        <w:spacing w:after="160"/>
      </w:pPr>
      <w:r>
        <w:rPr>
          <w:rFonts w:ascii="Calibri" w:cs="Calibri" w:eastAsia="Calibri" w:hAnsi="Calibri"/>
          <w:color w:val="52525B"/>
          <w:sz w:val="22"/>
          <w:szCs w:val="22"/>
        </w:rPr>
        <w:t xml:space="preserve">Visibility into what the business already owns, has built, or can reuse. Reusable scenic elements, historic build references, digital assets connected to physical experiences.</w:t>
      </w:r>
    </w:p>
    <w:p>
      <w:pPr>
        <w:spacing w:after="40" w:before="120"/>
      </w:pPr>
      <w:r>
        <w:rPr>
          <w:rFonts w:ascii="Calibri" w:cs="Calibri" w:eastAsia="Calibri" w:hAnsi="Calibri"/>
          <w:b/>
          <w:bCs/>
          <w:color w:val="1A9959"/>
          <w:sz w:val="22"/>
          <w:szCs w:val="22"/>
        </w:rPr>
        <w:t xml:space="preserve">Materials &amp; Components</w:t>
      </w:r>
    </w:p>
    <w:p>
      <w:pPr>
        <w:spacing w:after="160"/>
      </w:pPr>
      <w:r>
        <w:rPr>
          <w:rFonts w:ascii="Calibri" w:cs="Calibri" w:eastAsia="Calibri" w:hAnsi="Calibri"/>
          <w:color w:val="52525B"/>
          <w:sz w:val="22"/>
          <w:szCs w:val="22"/>
        </w:rPr>
        <w:t xml:space="preserve">Stronger picture of what is needed vs. what is available. Material planning, component tracking, procurement coordination, and supplier visibility.</w:t>
      </w:r>
    </w:p>
    <w:p>
      <w:pPr>
        <w:spacing w:after="40" w:before="120"/>
      </w:pPr>
      <w:r>
        <w:rPr>
          <w:rFonts w:ascii="Calibri" w:cs="Calibri" w:eastAsia="Calibri" w:hAnsi="Calibri"/>
          <w:b/>
          <w:bCs/>
          <w:color w:val="1A9959"/>
          <w:sz w:val="22"/>
          <w:szCs w:val="22"/>
        </w:rPr>
        <w:t xml:space="preserve">Capacity Forecasting</w:t>
      </w:r>
    </w:p>
    <w:p>
      <w:pPr>
        <w:spacing w:after="160"/>
      </w:pPr>
      <w:r>
        <w:rPr>
          <w:rFonts w:ascii="Calibri" w:cs="Calibri" w:eastAsia="Calibri" w:hAnsi="Calibri"/>
          <w:color w:val="52525B"/>
          <w:sz w:val="22"/>
          <w:szCs w:val="22"/>
        </w:rPr>
        <w:t xml:space="preserve">Production load, team capacity, timing conflicts, and build implications of incoming pipeline. The shift from </w:t>
      </w:r>
      <w:r>
        <w:rPr>
          <w:rFonts w:ascii="Calibri" w:cs="Calibri" w:eastAsia="Calibri" w:hAnsi="Calibri"/>
          <w:b/>
          <w:bCs/>
          <w:sz w:val="22"/>
          <w:szCs w:val="22"/>
        </w:rPr>
        <w:t xml:space="preserve">reactive to planned production</w:t>
      </w:r>
      <w:r>
        <w:rPr>
          <w:rFonts w:ascii="Calibri" w:cs="Calibri" w:eastAsia="Calibri" w:hAnsi="Calibri"/>
          <w:color w:val="52525B"/>
          <w:sz w:val="22"/>
          <w:szCs w:val="22"/>
        </w:rPr>
        <w:t xml:space="preserve">.</w:t>
      </w:r>
    </w:p>
    <w:p>
      <w:pPr>
        <w:spacing w:after="40" w:before="120"/>
      </w:pPr>
      <w:r>
        <w:rPr>
          <w:rFonts w:ascii="Calibri" w:cs="Calibri" w:eastAsia="Calibri" w:hAnsi="Calibri"/>
          <w:b/>
          <w:bCs/>
          <w:color w:val="1A9959"/>
          <w:sz w:val="22"/>
          <w:szCs w:val="22"/>
        </w:rPr>
        <w:t xml:space="preserve">Digital–Physical Integration</w:t>
      </w:r>
    </w:p>
    <w:p>
      <w:pPr>
        <w:spacing w:after="160"/>
      </w:pPr>
      <w:r>
        <w:rPr>
          <w:rFonts w:ascii="Calibri" w:cs="Calibri" w:eastAsia="Calibri" w:hAnsi="Calibri"/>
          <w:color w:val="52525B"/>
          <w:sz w:val="22"/>
          <w:szCs w:val="22"/>
        </w:rPr>
        <w:t xml:space="preserve">Alignment across physical environments, interactive experiences, content production, platform integration, and on-site digital behavior.</w:t>
      </w:r>
    </w:p>
    <w:p>
      <w:pPr>
        <w:spacing w:after="40" w:before="120"/>
      </w:pPr>
      <w:r>
        <w:rPr>
          <w:rFonts w:ascii="Calibri" w:cs="Calibri" w:eastAsia="Calibri" w:hAnsi="Calibri"/>
          <w:b/>
          <w:bCs/>
          <w:color w:val="1A9959"/>
          <w:sz w:val="22"/>
          <w:szCs w:val="22"/>
        </w:rPr>
        <w:t xml:space="preserve">Cost Intelligence</w:t>
      </w:r>
    </w:p>
    <w:p>
      <w:pPr>
        <w:spacing w:after="160"/>
      </w:pPr>
      <w:r>
        <w:rPr>
          <w:rFonts w:ascii="Calibri" w:cs="Calibri" w:eastAsia="Calibri" w:hAnsi="Calibri"/>
          <w:color w:val="52525B"/>
          <w:sz w:val="22"/>
          <w:szCs w:val="22"/>
        </w:rPr>
        <w:t xml:space="preserve">Benchmark against past builds, anticipate cost drivers, price work with better historical reference. Build becomes not just faster, but more </w:t>
      </w:r>
      <w:r>
        <w:rPr>
          <w:rFonts w:ascii="Calibri" w:cs="Calibri" w:eastAsia="Calibri" w:hAnsi="Calibri"/>
          <w:b/>
          <w:bCs/>
          <w:sz w:val="22"/>
          <w:szCs w:val="22"/>
        </w:rPr>
        <w:t xml:space="preserve">commercially informed</w:t>
      </w:r>
      <w:r>
        <w:rPr>
          <w:rFonts w:ascii="Calibri" w:cs="Calibri" w:eastAsia="Calibri" w:hAnsi="Calibri"/>
          <w:color w:val="52525B"/>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9959" w:sz="6"/>
              <w:bottom w:val="single" w:color="CCCCCC" w:sz="1"/>
              <w:right w:val="single" w:color="CCCCCC" w:sz="1"/>
            </w:tcBorders>
            <w:shd w:fill="ECFDF5" w:val="clear"/>
            <w:tcMar>
              <w:top w:type="dxa" w:w="120"/>
              <w:left w:type="dxa" w:w="200"/>
              <w:bottom w:type="dxa" w:w="120"/>
              <w:right w:type="dxa" w:w="200"/>
            </w:tcMar>
          </w:tcPr>
          <w:p>
            <w:pPr>
              <w:spacing w:after="160"/>
            </w:pPr>
            <w:r>
              <w:rPr>
                <w:rFonts w:ascii="Calibri" w:cs="Calibri" w:eastAsia="Calibri" w:hAnsi="Calibri"/>
                <w:b/>
                <w:bCs/>
                <w:sz w:val="22"/>
                <w:szCs w:val="22"/>
              </w:rPr>
              <w:t xml:space="preserve">BUILD becomes:</w:t>
            </w:r>
            <w:r>
              <w:rPr>
                <w:rFonts w:ascii="Calibri" w:cs="Calibri" w:eastAsia="Calibri" w:hAnsi="Calibri"/>
                <w:color w:val="52525B"/>
                <w:sz w:val="22"/>
                <w:szCs w:val="22"/>
              </w:rPr>
              <w:t xml:space="preserve"> more coordinated, more predictable, more reusable, more cost-aware, and more connected across digital and physical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Before</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Sales sells blind, assets rebuilt because nobody knows they exist, each office runs its own way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Design-to-build continuity, searchable asset inventory, planned production, cost intelligence from history</w:t>
            </w:r>
          </w:p>
        </w:tc>
      </w:tr>
    </w:tbl>
    <w:p>
      <w:r>
        <w:br w:type="page"/>
      </w:r>
    </w:p>
    <w:p>
      <w:pPr>
        <w:pStyle w:val="Heading2"/>
        <w:spacing w:after="150" w:before="300"/>
      </w:pPr>
      <w:r>
        <w:rPr>
          <w:rFonts w:ascii="Georgia" w:cs="Georgia" w:eastAsia="Georgia" w:hAnsi="Georgia"/>
          <w:b/>
          <w:bCs/>
          <w:sz w:val="28"/>
          <w:szCs w:val="28"/>
        </w:rPr>
        <w:t xml:space="preserve">EXECUTE — Program Management</w:t>
      </w:r>
    </w:p>
    <w:p>
      <w:pPr>
        <w:spacing w:after="160"/>
      </w:pPr>
      <w:r>
        <w:rPr>
          <w:rFonts w:ascii="Calibri" w:cs="Calibri" w:eastAsia="Calibri" w:hAnsi="Calibri"/>
          <w:color w:val="52525B"/>
          <w:sz w:val="22"/>
          <w:szCs w:val="22"/>
        </w:rPr>
        <w:t xml:space="preserve">The backbone turns execution from something people discover too late into something they can manage actively. Complexity peaks here. It’s where Taylor’s leadership spends the most time today — often manually.</w:t>
      </w:r>
    </w:p>
    <w:p>
      <w:pPr>
        <w:spacing w:after="40" w:before="120"/>
      </w:pPr>
      <w:r>
        <w:rPr>
          <w:rFonts w:ascii="Calibri" w:cs="Calibri" w:eastAsia="Calibri" w:hAnsi="Calibri"/>
          <w:b/>
          <w:bCs/>
          <w:color w:val="B45309"/>
          <w:sz w:val="22"/>
          <w:szCs w:val="22"/>
        </w:rPr>
        <w:t xml:space="preserve">Project Orchestration</w:t>
      </w:r>
    </w:p>
    <w:p>
      <w:pPr>
        <w:spacing w:after="160"/>
      </w:pPr>
      <w:r>
        <w:rPr>
          <w:rFonts w:ascii="Calibri" w:cs="Calibri" w:eastAsia="Calibri" w:hAnsi="Calibri"/>
          <w:color w:val="52525B"/>
          <w:sz w:val="22"/>
          <w:szCs w:val="22"/>
        </w:rPr>
        <w:t xml:space="preserve">Centralized project visibility, shared timelines, clearer dependencies and ownership. The shift from fragmented execution to </w:t>
      </w:r>
      <w:r>
        <w:rPr>
          <w:rFonts w:ascii="Calibri" w:cs="Calibri" w:eastAsia="Calibri" w:hAnsi="Calibri"/>
          <w:b/>
          <w:bCs/>
          <w:sz w:val="22"/>
          <w:szCs w:val="22"/>
        </w:rPr>
        <w:t xml:space="preserve">connected execution</w:t>
      </w:r>
      <w:r>
        <w:rPr>
          <w:rFonts w:ascii="Calibri" w:cs="Calibri" w:eastAsia="Calibri" w:hAnsi="Calibri"/>
          <w:color w:val="52525B"/>
          <w:sz w:val="22"/>
          <w:szCs w:val="22"/>
        </w:rPr>
        <w:t xml:space="preserve">.</w:t>
      </w:r>
    </w:p>
    <w:p>
      <w:pPr>
        <w:spacing w:after="40" w:before="120"/>
      </w:pPr>
      <w:r>
        <w:rPr>
          <w:rFonts w:ascii="Calibri" w:cs="Calibri" w:eastAsia="Calibri" w:hAnsi="Calibri"/>
          <w:b/>
          <w:bCs/>
          <w:color w:val="B45309"/>
          <w:sz w:val="22"/>
          <w:szCs w:val="22"/>
        </w:rPr>
        <w:t xml:space="preserve">Resource Allocation</w:t>
      </w:r>
    </w:p>
    <w:p>
      <w:pPr>
        <w:spacing w:after="160"/>
      </w:pPr>
      <w:r>
        <w:rPr>
          <w:rFonts w:ascii="Calibri" w:cs="Calibri" w:eastAsia="Calibri" w:hAnsi="Calibri"/>
          <w:color w:val="52525B"/>
          <w:sz w:val="22"/>
          <w:szCs w:val="22"/>
        </w:rPr>
        <w:t xml:space="preserve">Better crew planning, specialist allocation, visibility into team utilization, and cross-project resource balancing. Fewer blind spots and less fire-fighting.</w:t>
      </w:r>
    </w:p>
    <w:p>
      <w:pPr>
        <w:spacing w:after="40" w:before="120"/>
      </w:pPr>
      <w:r>
        <w:rPr>
          <w:rFonts w:ascii="Calibri" w:cs="Calibri" w:eastAsia="Calibri" w:hAnsi="Calibri"/>
          <w:b/>
          <w:bCs/>
          <w:color w:val="B45309"/>
          <w:sz w:val="22"/>
          <w:szCs w:val="22"/>
        </w:rPr>
        <w:t xml:space="preserve">Logistics &amp; Deployment</w:t>
      </w:r>
    </w:p>
    <w:p>
      <w:pPr>
        <w:spacing w:after="160"/>
      </w:pPr>
      <w:r>
        <w:rPr>
          <w:rFonts w:ascii="Calibri" w:cs="Calibri" w:eastAsia="Calibri" w:hAnsi="Calibri"/>
          <w:color w:val="52525B"/>
          <w:sz w:val="22"/>
          <w:szCs w:val="22"/>
        </w:rPr>
        <w:t xml:space="preserve">Logistics tracking, deployment readiness, installation sequencing, and clarity around what is arriving where and when. Reduced execution risk.</w:t>
      </w:r>
    </w:p>
    <w:p>
      <w:pPr>
        <w:spacing w:after="40" w:before="120"/>
      </w:pPr>
      <w:r>
        <w:rPr>
          <w:rFonts w:ascii="Calibri" w:cs="Calibri" w:eastAsia="Calibri" w:hAnsi="Calibri"/>
          <w:b/>
          <w:bCs/>
          <w:color w:val="B45309"/>
          <w:sz w:val="22"/>
          <w:szCs w:val="22"/>
        </w:rPr>
        <w:t xml:space="preserve">Real-Time Visibility</w:t>
      </w:r>
    </w:p>
    <w:p>
      <w:pPr>
        <w:spacing w:after="160"/>
      </w:pPr>
      <w:r>
        <w:rPr>
          <w:rFonts w:ascii="Calibri" w:cs="Calibri" w:eastAsia="Calibri" w:hAnsi="Calibri"/>
          <w:color w:val="52525B"/>
          <w:sz w:val="22"/>
          <w:szCs w:val="22"/>
        </w:rPr>
        <w:t xml:space="preserve">Project status monitored clearly, emerging issues seen earlier, leadership intervenes sooner. No need to be CC’d on every email to stay informed.</w:t>
      </w:r>
    </w:p>
    <w:p>
      <w:pPr>
        <w:spacing w:after="40" w:before="120"/>
      </w:pPr>
      <w:r>
        <w:rPr>
          <w:rFonts w:ascii="Calibri" w:cs="Calibri" w:eastAsia="Calibri" w:hAnsi="Calibri"/>
          <w:b/>
          <w:bCs/>
          <w:color w:val="B45309"/>
          <w:sz w:val="22"/>
          <w:szCs w:val="22"/>
        </w:rPr>
        <w:t xml:space="preserve">Measurement &amp; Learning</w:t>
      </w:r>
    </w:p>
    <w:p>
      <w:pPr>
        <w:spacing w:after="160"/>
      </w:pPr>
      <w:r>
        <w:rPr>
          <w:rFonts w:ascii="Calibri" w:cs="Calibri" w:eastAsia="Calibri" w:hAnsi="Calibri"/>
          <w:color w:val="52525B"/>
          <w:sz w:val="22"/>
          <w:szCs w:val="22"/>
        </w:rPr>
        <w:t xml:space="preserve">Event outcomes, attendee engagement, lead conversion, performance patterns. The loop between delivery and future strategy — closed.</w:t>
      </w:r>
    </w:p>
    <w:p>
      <w:pPr>
        <w:spacing w:after="40" w:before="120"/>
      </w:pPr>
      <w:r>
        <w:rPr>
          <w:rFonts w:ascii="Calibri" w:cs="Calibri" w:eastAsia="Calibri" w:hAnsi="Calibri"/>
          <w:b/>
          <w:bCs/>
          <w:color w:val="B45309"/>
          <w:sz w:val="22"/>
          <w:szCs w:val="22"/>
        </w:rPr>
        <w:t xml:space="preserve">Continuous Improvement</w:t>
      </w:r>
    </w:p>
    <w:p>
      <w:pPr>
        <w:spacing w:after="160"/>
      </w:pPr>
      <w:r>
        <w:rPr>
          <w:rFonts w:ascii="Calibri" w:cs="Calibri" w:eastAsia="Calibri" w:hAnsi="Calibri"/>
          <w:color w:val="52525B"/>
          <w:sz w:val="22"/>
          <w:szCs w:val="22"/>
        </w:rPr>
        <w:t xml:space="preserve">Each project informs the next. Recurring issues become visible. High-performing formats become identifiable. The company becomes </w:t>
      </w:r>
      <w:r>
        <w:rPr>
          <w:rFonts w:ascii="Calibri" w:cs="Calibri" w:eastAsia="Calibri" w:hAnsi="Calibri"/>
          <w:b/>
          <w:bCs/>
          <w:sz w:val="22"/>
          <w:szCs w:val="22"/>
        </w:rPr>
        <w:t xml:space="preserve">better over time, not just busier</w:t>
      </w:r>
      <w:r>
        <w:rPr>
          <w:rFonts w:ascii="Calibri" w:cs="Calibri" w:eastAsia="Calibri" w:hAnsi="Calibri"/>
          <w:color w:val="52525B"/>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45309" w:sz="6"/>
              <w:bottom w:val="single" w:color="CCCCCC" w:sz="1"/>
              <w:right w:val="single" w:color="CCCCCC" w:sz="1"/>
            </w:tcBorders>
            <w:shd w:fill="FFFBEB" w:val="clear"/>
            <w:tcMar>
              <w:top w:type="dxa" w:w="120"/>
              <w:left w:type="dxa" w:w="200"/>
              <w:bottom w:type="dxa" w:w="120"/>
              <w:right w:type="dxa" w:w="200"/>
            </w:tcMar>
          </w:tcPr>
          <w:p>
            <w:pPr>
              <w:spacing w:after="160"/>
            </w:pPr>
            <w:r>
              <w:rPr>
                <w:rFonts w:ascii="Calibri" w:cs="Calibri" w:eastAsia="Calibri" w:hAnsi="Calibri"/>
                <w:b/>
                <w:bCs/>
                <w:sz w:val="22"/>
                <w:szCs w:val="22"/>
              </w:rPr>
              <w:t xml:space="preserve">EXECUTE becomes:</w:t>
            </w:r>
            <w:r>
              <w:rPr>
                <w:rFonts w:ascii="Calibri" w:cs="Calibri" w:eastAsia="Calibri" w:hAnsi="Calibri"/>
                <w:color w:val="52525B"/>
                <w:sz w:val="22"/>
                <w:szCs w:val="22"/>
              </w:rPr>
              <w:t xml:space="preserve"> more visible, more coordinated, more predictable, more measurable, and more capable of learning over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Before</w:t>
            </w:r>
          </w:p>
        </w:tc>
        <w:tc>
          <w:tcPr>
            <w:tcW w:type="dxa" w:w="4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Status via email chains, reactive fire-fighting, post-event learnings lost, no unified 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Real-time visibility, connected execution, organizational learning compounds over time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7A7AE6" w:sz="6"/>
              <w:bottom w:val="single" w:color="CCCCCC" w:sz="1"/>
              <w:right w:val="single" w:color="CCCCCC" w:sz="1"/>
            </w:tcBorders>
            <w:shd w:fill="EDEDFC" w:val="clear"/>
            <w:tcMar>
              <w:top w:type="dxa" w:w="120"/>
              <w:left w:type="dxa" w:w="200"/>
              <w:bottom w:type="dxa" w:w="120"/>
              <w:right w:type="dxa" w:w="200"/>
            </w:tcMar>
          </w:tcPr>
          <w:p>
            <w:pPr>
              <w:spacing w:after="160"/>
            </w:pPr>
            <w:r>
              <w:rPr>
                <w:rFonts w:ascii="Calibri" w:cs="Calibri" w:eastAsia="Calibri" w:hAnsi="Calibri"/>
                <w:b/>
                <w:bCs/>
                <w:sz w:val="22"/>
                <w:szCs w:val="22"/>
              </w:rPr>
              <w:t xml:space="preserve">Five dimensions. Three phases. One backbone.</w:t>
            </w:r>
            <w:r>
              <w:rPr>
                <w:rFonts w:ascii="Calibri" w:cs="Calibri" w:eastAsia="Calibri" w:hAnsi="Calibri"/>
                <w:color w:val="52525B"/>
                <w:sz w:val="22"/>
                <w:szCs w:val="22"/>
              </w:rPr>
              <w:t xml:space="preserve"> The Digital Backbone makes Taylor more informed in Create, more coordinated in Build, and more governed in Execute. It doesn’t add complexity — it removes the friction that 95 years of organic growth naturally created.</w:t>
            </w:r>
          </w:p>
        </w:tc>
      </w:tr>
    </w:tbl>
    <w:p>
      <w:r>
        <w:br w:type="page"/>
      </w:r>
    </w:p>
    <w:p>
      <w:pPr>
        <w:spacing w:after="60" w:before="120"/>
      </w:pPr>
      <w:r>
        <w:rPr>
          <w:rFonts w:ascii="Consolas" w:cs="Consolas" w:eastAsia="Consolas" w:hAnsi="Consolas"/>
          <w:b/>
          <w:bCs/>
          <w:color w:val="7A7AE6"/>
          <w:sz w:val="18"/>
          <w:szCs w:val="18"/>
        </w:rPr>
        <w:t xml:space="preserve">04 — THE TRANSFORMATION</w:t>
      </w:r>
    </w:p>
    <w:p>
      <w:pPr>
        <w:pStyle w:val="Heading1"/>
        <w:spacing w:after="150" w:before="300"/>
      </w:pPr>
      <w:r>
        <w:rPr>
          <w:rFonts w:ascii="Georgia" w:cs="Georgia" w:eastAsia="Georgia" w:hAnsi="Georgia"/>
          <w:b/>
          <w:bCs/>
          <w:sz w:val="36"/>
          <w:szCs w:val="36"/>
        </w:rPr>
        <w:t xml:space="preserve">Your Language. Your Framework. Five Dimensions.</w:t>
      </w:r>
    </w:p>
    <w:p>
      <w:pPr>
        <w:spacing w:after="160"/>
      </w:pPr>
      <w:r>
        <w:rPr>
          <w:rFonts w:ascii="Calibri" w:cs="Calibri" w:eastAsia="Calibri" w:hAnsi="Calibri"/>
          <w:color w:val="52525B"/>
          <w:sz w:val="22"/>
          <w:szCs w:val="22"/>
        </w:rPr>
        <w:t xml:space="preserve">Taylor already operates in Create, Build, Execute. It’s how you conceive, produce, and deliver experiences for the world’s most demanding brands. The Digital Backbone doesn’t change that framework — it strengthens every layer of it.</w:t>
      </w:r>
    </w:p>
    <w:p>
      <w:pPr>
        <w:spacing w:after="160"/>
      </w:pPr>
      <w:r>
        <w:rPr>
          <w:rFonts w:ascii="Calibri" w:cs="Calibri" w:eastAsia="Calibri" w:hAnsi="Calibri"/>
          <w:color w:val="52525B"/>
          <w:sz w:val="22"/>
          <w:szCs w:val="22"/>
        </w:rPr>
        <w:t xml:space="preserve">Across all three phases, we address </w:t>
      </w:r>
      <w:r>
        <w:rPr>
          <w:rFonts w:ascii="Calibri" w:cs="Calibri" w:eastAsia="Calibri" w:hAnsi="Calibri"/>
          <w:b/>
          <w:bCs/>
          <w:sz w:val="22"/>
          <w:szCs w:val="22"/>
        </w:rPr>
        <w:t xml:space="preserve">five transformation dimensions</w:t>
      </w:r>
      <w:r>
        <w:rPr>
          <w:rFonts w:ascii="Calibri" w:cs="Calibri" w:eastAsia="Calibri" w:hAnsi="Calibri"/>
          <w:color w:val="52525B"/>
          <w:sz w:val="22"/>
          <w:szCs w:val="22"/>
        </w:rPr>
        <w:t xml:space="preserve"> — the areas where operational maturity determines whether a company scales efficiently or simply grows larger:</w:t>
      </w:r>
    </w:p>
    <w:p>
      <w:pPr>
        <w:pStyle w:val="Heading2"/>
        <w:spacing w:after="150" w:before="300"/>
      </w:pPr>
      <w:r>
        <w:rPr>
          <w:rFonts w:ascii="Georgia" w:cs="Georgia" w:eastAsia="Georgia" w:hAnsi="Georgia"/>
          <w:b/>
          <w:bCs/>
          <w:sz w:val="28"/>
          <w:szCs w:val="28"/>
        </w:rPr>
        <w:t xml:space="preserve">The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3"/>
              <w:left w:val="single" w:color="CCCCCC" w:sz="1"/>
              <w:bottom w:val="single" w:color="CCCCCC" w:sz="1"/>
              <w:right w:val="single" w:color="CCCCCC" w:sz="1"/>
            </w:tcBorders>
            <w:tcMar>
              <w:top w:type="dxa" w:w="160"/>
              <w:left w:type="dxa" w:w="200"/>
              <w:bottom w:type="dxa" w:w="160"/>
              <w:right w:type="dxa" w:w="200"/>
            </w:tcMar>
          </w:tcPr>
          <w:p>
            <w:pPr>
              <w:spacing w:after="20"/>
            </w:pPr>
            <w:r>
              <w:rPr>
                <w:rFonts w:ascii="Consolas" w:cs="Consolas" w:eastAsia="Consolas" w:hAnsi="Consolas"/>
                <w:b/>
                <w:bCs/>
                <w:color w:val="2563EB"/>
                <w:sz w:val="14"/>
                <w:szCs w:val="14"/>
              </w:rPr>
              <w:t xml:space="preserve">INTAKE</w:t>
            </w:r>
          </w:p>
          <w:p>
            <w:pPr>
              <w:spacing w:after="40"/>
            </w:pPr>
            <w:r>
              <w:rPr>
                <w:rFonts w:ascii="Georgia" w:cs="Georgia" w:eastAsia="Georgia" w:hAnsi="Georgia"/>
                <w:b/>
                <w:bCs/>
                <w:color w:val="2563EB"/>
                <w:sz w:val="26"/>
                <w:szCs w:val="26"/>
              </w:rPr>
              <w:t xml:space="preserve">INTAKE</w:t>
            </w:r>
          </w:p>
          <w:p>
            <w:pPr>
              <w:spacing w:after="60"/>
            </w:pPr>
            <w:r>
              <w:rPr>
                <w:rFonts w:ascii="Consolas" w:cs="Consolas" w:eastAsia="Consolas" w:hAnsi="Consolas"/>
                <w:color w:val="52525B"/>
                <w:sz w:val="16"/>
                <w:szCs w:val="16"/>
              </w:rPr>
              <w:t xml:space="preserve">Apr – May 2026</w:t>
            </w:r>
          </w:p>
          <w:p>
            <w:pPr>
              <w:spacing w:after="40"/>
            </w:pPr>
            <w:r>
              <w:rPr>
                <w:rFonts w:ascii="Calibri" w:cs="Calibri" w:eastAsia="Calibri" w:hAnsi="Calibri"/>
                <w:b/>
                <w:bCs/>
                <w:color w:val="18181B"/>
                <w:sz w:val="20"/>
                <w:szCs w:val="20"/>
              </w:rPr>
              <w:t xml:space="preserve">Remote</w:t>
            </w:r>
          </w:p>
          <w:p>
            <w:pPr>
              <w:spacing w:after="160"/>
            </w:pPr>
            <w:r>
              <w:rPr>
                <w:rFonts w:ascii="Calibri" w:cs="Calibri" w:eastAsia="Calibri" w:hAnsi="Calibri"/>
                <w:color w:val="52525B"/>
                <w:sz w:val="22"/>
                <w:szCs w:val="22"/>
              </w:rPr>
              <w:t xml:space="preserve">SOP documentation, technology audit, stakeholder mapping.</w:t>
            </w:r>
          </w:p>
          <w:p>
            <w:pPr>
              <w:pStyle w:val="ListParagraph"/>
              <w:numPr>
                <w:ilvl w:val="0"/>
                <w:numId w:val="2"/>
              </w:numPr>
              <w:spacing w:after="40"/>
              <w:ind w:left="240"/>
            </w:pPr>
            <w:r>
              <w:rPr>
                <w:rFonts w:ascii="Calibri" w:cs="Calibri" w:eastAsia="Calibri" w:hAnsi="Calibri"/>
                <w:color w:val="52525B"/>
                <w:sz w:val="20"/>
                <w:szCs w:val="20"/>
              </w:rPr>
              <w:t xml:space="preserve">Current-state assessment</w:t>
            </w:r>
          </w:p>
          <w:p>
            <w:pPr>
              <w:pStyle w:val="ListParagraph"/>
              <w:numPr>
                <w:ilvl w:val="0"/>
                <w:numId w:val="2"/>
              </w:numPr>
              <w:spacing w:after="40"/>
              <w:ind w:left="240"/>
            </w:pPr>
            <w:r>
              <w:rPr>
                <w:rFonts w:ascii="Calibri" w:cs="Calibri" w:eastAsia="Calibri" w:hAnsi="Calibri"/>
                <w:color w:val="52525B"/>
                <w:sz w:val="20"/>
                <w:szCs w:val="20"/>
              </w:rPr>
              <w:t xml:space="preserve">Technology audit</w:t>
            </w:r>
          </w:p>
          <w:p>
            <w:pPr>
              <w:pStyle w:val="ListParagraph"/>
              <w:numPr>
                <w:ilvl w:val="0"/>
                <w:numId w:val="2"/>
              </w:numPr>
              <w:spacing w:after="40"/>
              <w:ind w:left="240"/>
            </w:pPr>
            <w:r>
              <w:rPr>
                <w:rFonts w:ascii="Calibri" w:cs="Calibri" w:eastAsia="Calibri" w:hAnsi="Calibri"/>
                <w:color w:val="52525B"/>
                <w:sz w:val="20"/>
                <w:szCs w:val="20"/>
              </w:rPr>
              <w:t xml:space="preserve">Prioritized workstreams</w:t>
            </w:r>
          </w:p>
          <w:p>
            <w:pPr>
              <w:pStyle w:val="ListParagraph"/>
              <w:numPr>
                <w:ilvl w:val="0"/>
                <w:numId w:val="2"/>
              </w:numPr>
              <w:spacing w:after="40"/>
              <w:ind w:left="240"/>
            </w:pPr>
            <w:r>
              <w:rPr>
                <w:rFonts w:ascii="Calibri" w:cs="Calibri" w:eastAsia="Calibri" w:hAnsi="Calibri"/>
                <w:color w:val="52525B"/>
                <w:sz w:val="20"/>
                <w:szCs w:val="20"/>
              </w:rPr>
              <w:t xml:space="preserve">Scoped next-phase proposal</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9959" w:sz="3"/>
              <w:left w:val="single" w:color="CCCCCC" w:sz="1"/>
              <w:bottom w:val="single" w:color="CCCCCC" w:sz="1"/>
              <w:right w:val="single" w:color="CCCCCC" w:sz="1"/>
            </w:tcBorders>
            <w:tcMar>
              <w:top w:type="dxa" w:w="160"/>
              <w:left w:type="dxa" w:w="200"/>
              <w:bottom w:type="dxa" w:w="160"/>
              <w:right w:type="dxa" w:w="200"/>
            </w:tcMar>
          </w:tcPr>
          <w:p>
            <w:pPr>
              <w:spacing w:after="20"/>
            </w:pPr>
            <w:r>
              <w:rPr>
                <w:rFonts w:ascii="Consolas" w:cs="Consolas" w:eastAsia="Consolas" w:hAnsi="Consolas"/>
                <w:b/>
                <w:bCs/>
                <w:color w:val="1A9959"/>
                <w:sz w:val="14"/>
                <w:szCs w:val="14"/>
              </w:rPr>
              <w:t xml:space="preserve">DISCOVERY</w:t>
            </w:r>
          </w:p>
          <w:p>
            <w:pPr>
              <w:spacing w:after="40"/>
            </w:pPr>
            <w:r>
              <w:rPr>
                <w:rFonts w:ascii="Georgia" w:cs="Georgia" w:eastAsia="Georgia" w:hAnsi="Georgia"/>
                <w:b/>
                <w:bCs/>
                <w:color w:val="1A9959"/>
                <w:sz w:val="26"/>
                <w:szCs w:val="26"/>
              </w:rPr>
              <w:t xml:space="preserve">DISCOVERY</w:t>
            </w:r>
          </w:p>
          <w:p>
            <w:pPr>
              <w:spacing w:after="60"/>
            </w:pPr>
            <w:r>
              <w:rPr>
                <w:rFonts w:ascii="Consolas" w:cs="Consolas" w:eastAsia="Consolas" w:hAnsi="Consolas"/>
                <w:color w:val="52525B"/>
                <w:sz w:val="16"/>
                <w:szCs w:val="16"/>
              </w:rPr>
              <w:t xml:space="preserve">Jun – Jul 2026</w:t>
            </w:r>
          </w:p>
          <w:p>
            <w:pPr>
              <w:spacing w:after="40"/>
            </w:pPr>
            <w:r>
              <w:rPr>
                <w:rFonts w:ascii="Calibri" w:cs="Calibri" w:eastAsia="Calibri" w:hAnsi="Calibri"/>
                <w:b/>
                <w:bCs/>
                <w:color w:val="18181B"/>
                <w:sz w:val="20"/>
                <w:szCs w:val="20"/>
              </w:rPr>
              <w:t xml:space="preserve">Onsite Toronto + Remote</w:t>
            </w:r>
          </w:p>
          <w:p>
            <w:pPr>
              <w:spacing w:after="160"/>
            </w:pPr>
            <w:r>
              <w:rPr>
                <w:rFonts w:ascii="Calibri" w:cs="Calibri" w:eastAsia="Calibri" w:hAnsi="Calibri"/>
                <w:color w:val="52525B"/>
                <w:sz w:val="22"/>
                <w:szCs w:val="22"/>
              </w:rPr>
              <w:t xml:space="preserve">Interviews, process mapping, AI vision alignment.</w:t>
            </w:r>
          </w:p>
          <w:p>
            <w:pPr>
              <w:pStyle w:val="ListParagraph"/>
              <w:numPr>
                <w:ilvl w:val="0"/>
                <w:numId w:val="2"/>
              </w:numPr>
              <w:spacing w:after="40"/>
              <w:ind w:left="240"/>
            </w:pPr>
            <w:r>
              <w:rPr>
                <w:rFonts w:ascii="Calibri" w:cs="Calibri" w:eastAsia="Calibri" w:hAnsi="Calibri"/>
                <w:color w:val="52525B"/>
                <w:sz w:val="20"/>
                <w:szCs w:val="20"/>
              </w:rPr>
              <w:t xml:space="preserve">Process maps</w:t>
            </w:r>
          </w:p>
          <w:p>
            <w:pPr>
              <w:pStyle w:val="ListParagraph"/>
              <w:numPr>
                <w:ilvl w:val="0"/>
                <w:numId w:val="2"/>
              </w:numPr>
              <w:spacing w:after="40"/>
              <w:ind w:left="240"/>
            </w:pPr>
            <w:r>
              <w:rPr>
                <w:rFonts w:ascii="Calibri" w:cs="Calibri" w:eastAsia="Calibri" w:hAnsi="Calibri"/>
                <w:color w:val="52525B"/>
                <w:sz w:val="20"/>
                <w:szCs w:val="20"/>
              </w:rPr>
              <w:t xml:space="preserve">AI readiness evaluation</w:t>
            </w:r>
          </w:p>
          <w:p>
            <w:pPr>
              <w:pStyle w:val="ListParagraph"/>
              <w:numPr>
                <w:ilvl w:val="0"/>
                <w:numId w:val="2"/>
              </w:numPr>
              <w:spacing w:after="40"/>
              <w:ind w:left="240"/>
            </w:pPr>
            <w:r>
              <w:rPr>
                <w:rFonts w:ascii="Calibri" w:cs="Calibri" w:eastAsia="Calibri" w:hAnsi="Calibri"/>
                <w:color w:val="52525B"/>
                <w:sz w:val="20"/>
                <w:szCs w:val="20"/>
              </w:rPr>
              <w:t xml:space="preserve">Quick-win identification</w:t>
            </w:r>
          </w:p>
          <w:p>
            <w:pPr>
              <w:pStyle w:val="ListParagraph"/>
              <w:numPr>
                <w:ilvl w:val="0"/>
                <w:numId w:val="2"/>
              </w:numPr>
              <w:spacing w:after="40"/>
              <w:ind w:left="240"/>
            </w:pPr>
            <w:r>
              <w:rPr>
                <w:rFonts w:ascii="Calibri" w:cs="Calibri" w:eastAsia="Calibri" w:hAnsi="Calibri"/>
                <w:color w:val="52525B"/>
                <w:sz w:val="20"/>
                <w:szCs w:val="20"/>
              </w:rPr>
              <w:t xml:space="preserve">Implementation roadmap</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E6" w:sz="3"/>
              <w:left w:val="single" w:color="CCCCCC" w:sz="1"/>
              <w:bottom w:val="single" w:color="CCCCCC" w:sz="1"/>
              <w:right w:val="single" w:color="CCCCCC" w:sz="1"/>
            </w:tcBorders>
            <w:tcMar>
              <w:top w:type="dxa" w:w="160"/>
              <w:left w:type="dxa" w:w="200"/>
              <w:bottom w:type="dxa" w:w="160"/>
              <w:right w:type="dxa" w:w="200"/>
            </w:tcMar>
          </w:tcPr>
          <w:p>
            <w:pPr>
              <w:spacing w:after="20"/>
            </w:pPr>
            <w:r>
              <w:rPr>
                <w:rFonts w:ascii="Consolas" w:cs="Consolas" w:eastAsia="Consolas" w:hAnsi="Consolas"/>
                <w:b/>
                <w:bCs/>
                <w:color w:val="7A7AE6"/>
                <w:sz w:val="14"/>
                <w:szCs w:val="14"/>
              </w:rPr>
              <w:t xml:space="preserve">IMPLEMENTATION</w:t>
            </w:r>
          </w:p>
          <w:p>
            <w:pPr>
              <w:spacing w:after="40"/>
            </w:pPr>
            <w:r>
              <w:rPr>
                <w:rFonts w:ascii="Georgia" w:cs="Georgia" w:eastAsia="Georgia" w:hAnsi="Georgia"/>
                <w:b/>
                <w:bCs/>
                <w:color w:val="7A7AE6"/>
                <w:sz w:val="26"/>
                <w:szCs w:val="26"/>
              </w:rPr>
              <w:t xml:space="preserve">IMPLEMENTATION</w:t>
            </w:r>
          </w:p>
          <w:p>
            <w:pPr>
              <w:spacing w:after="60"/>
            </w:pPr>
            <w:r>
              <w:rPr>
                <w:rFonts w:ascii="Consolas" w:cs="Consolas" w:eastAsia="Consolas" w:hAnsi="Consolas"/>
                <w:color w:val="52525B"/>
                <w:sz w:val="16"/>
                <w:szCs w:val="16"/>
              </w:rPr>
              <w:t xml:space="preserve">Aug – Oct 2026</w:t>
            </w:r>
          </w:p>
          <w:p>
            <w:pPr>
              <w:spacing w:after="40"/>
            </w:pPr>
            <w:r>
              <w:rPr>
                <w:rFonts w:ascii="Calibri" w:cs="Calibri" w:eastAsia="Calibri" w:hAnsi="Calibri"/>
                <w:b/>
                <w:bCs/>
                <w:color w:val="18181B"/>
                <w:sz w:val="20"/>
                <w:szCs w:val="20"/>
              </w:rPr>
              <w:t xml:space="preserve">Hybrid</w:t>
            </w:r>
          </w:p>
          <w:p>
            <w:pPr>
              <w:spacing w:after="160"/>
            </w:pPr>
            <w:r>
              <w:rPr>
                <w:rFonts w:ascii="Calibri" w:cs="Calibri" w:eastAsia="Calibri" w:hAnsi="Calibri"/>
                <w:color w:val="52525B"/>
                <w:sz w:val="22"/>
                <w:szCs w:val="22"/>
              </w:rPr>
              <w:t xml:space="preserve">Priority workstreams, automation builds, champion training.</w:t>
            </w:r>
          </w:p>
          <w:p>
            <w:pPr>
              <w:pStyle w:val="ListParagraph"/>
              <w:numPr>
                <w:ilvl w:val="0"/>
                <w:numId w:val="2"/>
              </w:numPr>
              <w:spacing w:after="40"/>
              <w:ind w:left="240"/>
            </w:pPr>
            <w:r>
              <w:rPr>
                <w:rFonts w:ascii="Calibri" w:cs="Calibri" w:eastAsia="Calibri" w:hAnsi="Calibri"/>
                <w:color w:val="52525B"/>
                <w:sz w:val="20"/>
                <w:szCs w:val="20"/>
              </w:rPr>
              <w:t xml:space="preserve">Activated platforms</w:t>
            </w:r>
          </w:p>
          <w:p>
            <w:pPr>
              <w:pStyle w:val="ListParagraph"/>
              <w:numPr>
                <w:ilvl w:val="0"/>
                <w:numId w:val="2"/>
              </w:numPr>
              <w:spacing w:after="40"/>
              <w:ind w:left="240"/>
            </w:pPr>
            <w:r>
              <w:rPr>
                <w:rFonts w:ascii="Calibri" w:cs="Calibri" w:eastAsia="Calibri" w:hAnsi="Calibri"/>
                <w:color w:val="52525B"/>
                <w:sz w:val="20"/>
                <w:szCs w:val="20"/>
              </w:rPr>
              <w:t xml:space="preserve">Built automations</w:t>
            </w:r>
          </w:p>
          <w:p>
            <w:pPr>
              <w:pStyle w:val="ListParagraph"/>
              <w:numPr>
                <w:ilvl w:val="0"/>
                <w:numId w:val="2"/>
              </w:numPr>
              <w:spacing w:after="40"/>
              <w:ind w:left="240"/>
            </w:pPr>
            <w:r>
              <w:rPr>
                <w:rFonts w:ascii="Calibri" w:cs="Calibri" w:eastAsia="Calibri" w:hAnsi="Calibri"/>
                <w:color w:val="52525B"/>
                <w:sz w:val="20"/>
                <w:szCs w:val="20"/>
              </w:rPr>
              <w:t xml:space="preserve">Trained champions</w:t>
            </w:r>
          </w:p>
          <w:p>
            <w:pPr>
              <w:pStyle w:val="ListParagraph"/>
              <w:numPr>
                <w:ilvl w:val="0"/>
                <w:numId w:val="2"/>
              </w:numPr>
              <w:spacing w:after="40"/>
              <w:ind w:left="240"/>
            </w:pPr>
            <w:r>
              <w:rPr>
                <w:rFonts w:ascii="Calibri" w:cs="Calibri" w:eastAsia="Calibri" w:hAnsi="Calibri"/>
                <w:color w:val="52525B"/>
                <w:sz w:val="20"/>
                <w:szCs w:val="20"/>
              </w:rPr>
              <w:t xml:space="preserve">Measurable KPIs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3"/>
              <w:left w:val="single" w:color="CCCCCC" w:sz="1"/>
              <w:bottom w:val="single" w:color="CCCCCC" w:sz="1"/>
              <w:right w:val="single" w:color="CCCCCC" w:sz="1"/>
            </w:tcBorders>
            <w:tcMar>
              <w:top w:type="dxa" w:w="160"/>
              <w:left w:type="dxa" w:w="200"/>
              <w:bottom w:type="dxa" w:w="160"/>
              <w:right w:type="dxa" w:w="200"/>
            </w:tcMar>
          </w:tcPr>
          <w:p>
            <w:pPr>
              <w:spacing w:after="20"/>
            </w:pPr>
            <w:r>
              <w:rPr>
                <w:rFonts w:ascii="Consolas" w:cs="Consolas" w:eastAsia="Consolas" w:hAnsi="Consolas"/>
                <w:b/>
                <w:bCs/>
                <w:color w:val="B45309"/>
                <w:sz w:val="14"/>
                <w:szCs w:val="14"/>
              </w:rPr>
              <w:t xml:space="preserve">STABILIZATION</w:t>
            </w:r>
          </w:p>
          <w:p>
            <w:pPr>
              <w:spacing w:after="40"/>
            </w:pPr>
            <w:r>
              <w:rPr>
                <w:rFonts w:ascii="Georgia" w:cs="Georgia" w:eastAsia="Georgia" w:hAnsi="Georgia"/>
                <w:b/>
                <w:bCs/>
                <w:color w:val="B45309"/>
                <w:sz w:val="26"/>
                <w:szCs w:val="26"/>
              </w:rPr>
              <w:t xml:space="preserve">STABILIZATION</w:t>
            </w:r>
          </w:p>
          <w:p>
            <w:pPr>
              <w:spacing w:after="60"/>
            </w:pPr>
            <w:r>
              <w:rPr>
                <w:rFonts w:ascii="Consolas" w:cs="Consolas" w:eastAsia="Consolas" w:hAnsi="Consolas"/>
                <w:color w:val="52525B"/>
                <w:sz w:val="16"/>
                <w:szCs w:val="16"/>
              </w:rPr>
              <w:t xml:space="preserve">Nov 2026+</w:t>
            </w:r>
          </w:p>
          <w:p>
            <w:pPr>
              <w:spacing w:after="40"/>
            </w:pPr>
            <w:r>
              <w:rPr>
                <w:rFonts w:ascii="Calibri" w:cs="Calibri" w:eastAsia="Calibri" w:hAnsi="Calibri"/>
                <w:b/>
                <w:bCs/>
                <w:color w:val="18181B"/>
                <w:sz w:val="20"/>
                <w:szCs w:val="20"/>
              </w:rPr>
              <w:t xml:space="preserve">Remote</w:t>
            </w:r>
          </w:p>
          <w:p>
            <w:pPr>
              <w:spacing w:after="160"/>
            </w:pPr>
            <w:r>
              <w:rPr>
                <w:rFonts w:ascii="Calibri" w:cs="Calibri" w:eastAsia="Calibri" w:hAnsi="Calibri"/>
                <w:color w:val="52525B"/>
                <w:sz w:val="22"/>
                <w:szCs w:val="22"/>
              </w:rPr>
              <w:t xml:space="preserve">Adoption reinforcement, measurement, knowledge transfer.</w:t>
            </w:r>
          </w:p>
          <w:p>
            <w:pPr>
              <w:pStyle w:val="ListParagraph"/>
              <w:numPr>
                <w:ilvl w:val="0"/>
                <w:numId w:val="2"/>
              </w:numPr>
              <w:spacing w:after="40"/>
              <w:ind w:left="240"/>
            </w:pPr>
            <w:r>
              <w:rPr>
                <w:rFonts w:ascii="Calibri" w:cs="Calibri" w:eastAsia="Calibri" w:hAnsi="Calibri"/>
                <w:color w:val="52525B"/>
                <w:sz w:val="20"/>
                <w:szCs w:val="20"/>
              </w:rPr>
              <w:t xml:space="preserve">Adoption monitoring</w:t>
            </w:r>
          </w:p>
          <w:p>
            <w:pPr>
              <w:pStyle w:val="ListParagraph"/>
              <w:numPr>
                <w:ilvl w:val="0"/>
                <w:numId w:val="2"/>
              </w:numPr>
              <w:spacing w:after="40"/>
              <w:ind w:left="240"/>
            </w:pPr>
            <w:r>
              <w:rPr>
                <w:rFonts w:ascii="Calibri" w:cs="Calibri" w:eastAsia="Calibri" w:hAnsi="Calibri"/>
                <w:color w:val="52525B"/>
                <w:sz w:val="20"/>
                <w:szCs w:val="20"/>
              </w:rPr>
              <w:t xml:space="preserve">Optimization recs</w:t>
            </w:r>
          </w:p>
          <w:p>
            <w:pPr>
              <w:pStyle w:val="ListParagraph"/>
              <w:numPr>
                <w:ilvl w:val="0"/>
                <w:numId w:val="2"/>
              </w:numPr>
              <w:spacing w:after="40"/>
              <w:ind w:left="240"/>
            </w:pPr>
            <w:r>
              <w:rPr>
                <w:rFonts w:ascii="Calibri" w:cs="Calibri" w:eastAsia="Calibri" w:hAnsi="Calibri"/>
                <w:color w:val="52525B"/>
                <w:sz w:val="20"/>
                <w:szCs w:val="20"/>
              </w:rPr>
              <w:t xml:space="preserve">Quarterly reviews</w:t>
            </w:r>
          </w:p>
          <w:p>
            <w:pPr>
              <w:pStyle w:val="ListParagraph"/>
              <w:numPr>
                <w:ilvl w:val="0"/>
                <w:numId w:val="2"/>
              </w:numPr>
              <w:spacing w:after="40"/>
              <w:ind w:left="240"/>
            </w:pPr>
            <w:r>
              <w:rPr>
                <w:rFonts w:ascii="Calibri" w:cs="Calibri" w:eastAsia="Calibri" w:hAnsi="Calibri"/>
                <w:color w:val="52525B"/>
                <w:sz w:val="20"/>
                <w:szCs w:val="20"/>
              </w:rPr>
              <w:t xml:space="preserve">Knowledge transfer</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7A7AE6" w:sz="6"/>
              <w:bottom w:val="single" w:color="CCCCCC" w:sz="1"/>
              <w:right w:val="single" w:color="CCCCCC" w:sz="1"/>
            </w:tcBorders>
            <w:shd w:fill="EDEDFC" w:val="clear"/>
            <w:tcMar>
              <w:top w:type="dxa" w:w="120"/>
              <w:left w:type="dxa" w:w="200"/>
              <w:bottom w:type="dxa" w:w="120"/>
              <w:right w:type="dxa" w:w="200"/>
            </w:tcMar>
          </w:tcPr>
          <w:p>
            <w:pPr>
              <w:spacing w:after="40"/>
            </w:pPr>
            <w:r>
              <w:rPr>
                <w:rFonts w:ascii="Consolas" w:cs="Consolas" w:eastAsia="Consolas" w:hAnsi="Consolas"/>
                <w:b/>
                <w:bCs/>
                <w:color w:val="7A7AE6"/>
                <w:sz w:val="16"/>
                <w:szCs w:val="16"/>
              </w:rPr>
              <w:t xml:space="preserve">HOW THE PHASES MAP TO CREATE, BUILD, EXECUTE</w:t>
            </w:r>
          </w:p>
          <w:p>
            <w:pPr>
              <w:spacing w:after="160"/>
            </w:pPr>
            <w:r>
              <w:rPr>
                <w:rFonts w:ascii="Calibri" w:cs="Calibri" w:eastAsia="Calibri" w:hAnsi="Calibri"/>
                <w:b/>
                <w:bCs/>
                <w:sz w:val="22"/>
                <w:szCs w:val="22"/>
              </w:rPr>
              <w:t xml:space="preserve">INTAKE + DISCOVERY</w:t>
            </w:r>
            <w:r>
              <w:rPr>
                <w:rFonts w:ascii="Calibri" w:cs="Calibri" w:eastAsia="Calibri" w:hAnsi="Calibri"/>
                <w:color w:val="52525B"/>
                <w:sz w:val="22"/>
                <w:szCs w:val="22"/>
              </w:rPr>
              <w:t xml:space="preserve"> → Primarily </w:t>
            </w:r>
            <w:r>
              <w:rPr>
                <w:rFonts w:ascii="Calibri" w:cs="Calibri" w:eastAsia="Calibri" w:hAnsi="Calibri"/>
                <w:b/>
                <w:bCs/>
                <w:sz w:val="22"/>
                <w:szCs w:val="22"/>
              </w:rPr>
              <w:t xml:space="preserve">CREATE</w:t>
            </w:r>
            <w:r>
              <w:rPr>
                <w:rFonts w:ascii="Calibri" w:cs="Calibri" w:eastAsia="Calibri" w:hAnsi="Calibri"/>
                <w:color w:val="52525B"/>
                <w:sz w:val="22"/>
                <w:szCs w:val="22"/>
              </w:rPr>
              <w:t xml:space="preserve"> — understanding how Taylor creates, builds, and executes today.
</w:t>
            </w:r>
            <w:r>
              <w:rPr>
                <w:rFonts w:ascii="Calibri" w:cs="Calibri" w:eastAsia="Calibri" w:hAnsi="Calibri"/>
                <w:b/>
                <w:bCs/>
                <w:sz w:val="22"/>
                <w:szCs w:val="22"/>
              </w:rPr>
              <w:t xml:space="preserve">IMPLEMENTATION</w:t>
            </w:r>
            <w:r>
              <w:rPr>
                <w:rFonts w:ascii="Calibri" w:cs="Calibri" w:eastAsia="Calibri" w:hAnsi="Calibri"/>
                <w:color w:val="52525B"/>
                <w:sz w:val="22"/>
                <w:szCs w:val="22"/>
              </w:rPr>
              <w:t xml:space="preserve"> → Primarily </w:t>
            </w:r>
            <w:r>
              <w:rPr>
                <w:rFonts w:ascii="Calibri" w:cs="Calibri" w:eastAsia="Calibri" w:hAnsi="Calibri"/>
                <w:b/>
                <w:bCs/>
                <w:sz w:val="22"/>
                <w:szCs w:val="22"/>
              </w:rPr>
              <w:t xml:space="preserve">BUILD</w:t>
            </w:r>
            <w:r>
              <w:rPr>
                <w:rFonts w:ascii="Calibri" w:cs="Calibri" w:eastAsia="Calibri" w:hAnsi="Calibri"/>
                <w:color w:val="52525B"/>
                <w:sz w:val="22"/>
                <w:szCs w:val="22"/>
              </w:rPr>
              <w:t xml:space="preserve"> — activating tools, connecting systems, building automations, training champions.
</w:t>
            </w:r>
            <w:r>
              <w:rPr>
                <w:rFonts w:ascii="Calibri" w:cs="Calibri" w:eastAsia="Calibri" w:hAnsi="Calibri"/>
                <w:b/>
                <w:bCs/>
                <w:sz w:val="22"/>
                <w:szCs w:val="22"/>
              </w:rPr>
              <w:t xml:space="preserve">STABILIZATION</w:t>
            </w:r>
            <w:r>
              <w:rPr>
                <w:rFonts w:ascii="Calibri" w:cs="Calibri" w:eastAsia="Calibri" w:hAnsi="Calibri"/>
                <w:color w:val="52525B"/>
                <w:sz w:val="22"/>
                <w:szCs w:val="22"/>
              </w:rPr>
              <w:t xml:space="preserve"> → Primarily </w:t>
            </w:r>
            <w:r>
              <w:rPr>
                <w:rFonts w:ascii="Calibri" w:cs="Calibri" w:eastAsia="Calibri" w:hAnsi="Calibri"/>
                <w:b/>
                <w:bCs/>
                <w:sz w:val="22"/>
                <w:szCs w:val="22"/>
              </w:rPr>
              <w:t xml:space="preserve">EXECUTE</w:t>
            </w:r>
            <w:r>
              <w:rPr>
                <w:rFonts w:ascii="Calibri" w:cs="Calibri" w:eastAsia="Calibri" w:hAnsi="Calibri"/>
                <w:color w:val="52525B"/>
                <w:sz w:val="22"/>
                <w:szCs w:val="22"/>
              </w:rPr>
              <w:t xml:space="preserve"> — measuring adoption, optimizing workflows, ensuring the backbone sustains itself.</w:t>
            </w:r>
          </w:p>
        </w:tc>
      </w:tr>
    </w:tbl>
    <w:p>
      <w:r>
        <w:br w:type="page"/>
      </w:r>
    </w:p>
    <w:p>
      <w:pPr>
        <w:spacing w:after="60" w:before="120"/>
      </w:pPr>
      <w:r>
        <w:rPr>
          <w:rFonts w:ascii="Consolas" w:cs="Consolas" w:eastAsia="Consolas" w:hAnsi="Consolas"/>
          <w:b/>
          <w:bCs/>
          <w:color w:val="7A7AE6"/>
          <w:sz w:val="18"/>
          <w:szCs w:val="18"/>
        </w:rPr>
        <w:t xml:space="preserve">05 — TIMELINE</w:t>
      </w:r>
    </w:p>
    <w:p>
      <w:pPr>
        <w:pStyle w:val="Heading1"/>
        <w:spacing w:after="150" w:before="300"/>
      </w:pPr>
      <w:r>
        <w:rPr>
          <w:rFonts w:ascii="Georgia" w:cs="Georgia" w:eastAsia="Georgia" w:hAnsi="Georgia"/>
          <w:b/>
          <w:bCs/>
          <w:sz w:val="36"/>
          <w:szCs w:val="36"/>
        </w:rPr>
        <w:t xml:space="preserve">A Phased Approach</w:t>
      </w:r>
    </w:p>
    <w:p>
      <w:pPr>
        <w:spacing w:after="160"/>
      </w:pPr>
      <w:r>
        <w:rPr>
          <w:rFonts w:ascii="Calibri" w:cs="Calibri" w:eastAsia="Calibri" w:hAnsi="Calibri"/>
          <w:color w:val="52525B"/>
          <w:sz w:val="22"/>
          <w:szCs w:val="22"/>
        </w:rPr>
        <w:t xml:space="preserve">Each phase builds on the previous, ensuring early wins fund later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160"/>
        <w:gridCol w:w="2600"/>
      </w:tblGrid>
      <w:tr>
        <w:tc>
          <w:tcPr>
            <w:tcW w:type="dxa" w:w="1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Phase</w:t>
            </w:r>
          </w:p>
        </w:tc>
        <w:tc>
          <w:tcPr>
            <w:tcW w:type="dxa" w:w="1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Period</w:t>
            </w:r>
          </w:p>
        </w:tc>
        <w:tc>
          <w:tcPr>
            <w:tcW w:type="dxa" w:w="31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Key Activities</w:t>
            </w:r>
          </w:p>
        </w:tc>
        <w:tc>
          <w:tcPr>
            <w:tcW w:type="dxa" w:w="26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INTAKE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Apr – May 2026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SOP review, technology audit, stakeholder mapping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Clear baseline. No assumptions — only evidence.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DISCOVERY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Jun – Jul 2026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Onsite Toronto interviews, process mapping, AI vision alignment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Shared understanding of what’s possible.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IMPLEMENTATION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Aug – Oct 2026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Workstream execution, automation builds, champion training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Tangible improvements. Measurable ROI.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STABILIZATION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Nov 2026+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Adoption reinforcement, knowledge transfer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Taylor owns the transformation, not TransformAZ.</w:t>
            </w:r>
          </w:p>
        </w:tc>
      </w:tr>
    </w:tbl>
    <w:p>
      <w:r>
        <w:br w:type="page"/>
      </w:r>
    </w:p>
    <w:p>
      <w:pPr>
        <w:spacing w:after="60" w:before="400"/>
        <w:jc w:val="center"/>
      </w:pPr>
      <w:r>
        <w:rPr>
          <w:rFonts w:ascii="Georgia" w:cs="Georgia" w:eastAsia="Georgia" w:hAnsi="Georgia"/>
          <w:i/>
          <w:iCs/>
          <w:color w:val="7A7AE6"/>
          <w:sz w:val="28"/>
          <w:szCs w:val="28"/>
        </w:rPr>
        <w:t xml:space="preserve">“Only 16% of digital transformations fully succeed. Approach matters more than ambition.”</w:t>
      </w:r>
    </w:p>
    <w:p>
      <w:pPr>
        <w:spacing w:after="400"/>
        <w:jc w:val="center"/>
      </w:pPr>
      <w:r>
        <w:rPr>
          <w:rFonts w:ascii="Consolas" w:cs="Consolas" w:eastAsia="Consolas" w:hAnsi="Consolas"/>
          <w:color w:val="52525B"/>
          <w:sz w:val="16"/>
          <w:szCs w:val="16"/>
        </w:rPr>
        <w:t xml:space="preserve">— McKinsey</w:t>
      </w:r>
    </w:p>
    <w:p>
      <w:pPr>
        <w:spacing w:after="400" w:before="400"/>
        <w:jc w:val="center"/>
      </w:pPr>
      <w:r>
        <w:rPr>
          <w:rFonts w:ascii="Georgia" w:cs="Georgia" w:eastAsia="Georgia" w:hAnsi="Georgia"/>
          <w:i/>
          <w:iCs/>
          <w:color w:val="7A7AE6"/>
          <w:sz w:val="28"/>
          <w:szCs w:val="28"/>
        </w:rPr>
        <w:t xml:space="preserve">“Everyone is buying AI tools. Almost nobody is connecting them. The ones who wire it into how they actually work — they won’t just compete. They’ll set the rules.”</w:t>
      </w:r>
    </w:p>
    <w:p>
      <w:pPr>
        <w:spacing w:after="60" w:before="120"/>
      </w:pPr>
      <w:r>
        <w:rPr>
          <w:rFonts w:ascii="Consolas" w:cs="Consolas" w:eastAsia="Consolas" w:hAnsi="Consolas"/>
          <w:b/>
          <w:bCs/>
          <w:color w:val="7A7AE6"/>
          <w:sz w:val="18"/>
          <w:szCs w:val="18"/>
        </w:rPr>
        <w:t xml:space="preserve">06 — MARKET INSIGHTS</w:t>
      </w:r>
    </w:p>
    <w:p>
      <w:pPr>
        <w:pStyle w:val="Heading1"/>
        <w:spacing w:after="150" w:before="300"/>
      </w:pPr>
      <w:r>
        <w:rPr>
          <w:rFonts w:ascii="Georgia" w:cs="Georgia" w:eastAsia="Georgia" w:hAnsi="Georgia"/>
          <w:b/>
          <w:bCs/>
          <w:sz w:val="36"/>
          <w:szCs w:val="36"/>
        </w:rPr>
        <w:t xml:space="preserve">The AI Transformation Landscape</w:t>
      </w:r>
    </w:p>
    <w:p>
      <w:pPr>
        <w:spacing w:after="160"/>
      </w:pPr>
      <w:r>
        <w:rPr>
          <w:rFonts w:ascii="Calibri" w:cs="Calibri" w:eastAsia="Calibri" w:hAnsi="Calibri"/>
          <w:color w:val="52525B"/>
          <w:sz w:val="22"/>
          <w:szCs w:val="22"/>
        </w:rPr>
        <w:t xml:space="preserve">88% of enterprises now use AI — but only 34% are truly reimagining their business. Here’s where the industry stands, and why Taylor’s timing is strategic.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88%</w:t>
            </w:r>
          </w:p>
          <w:p>
            <w:pPr>
              <w:jc w:val="center"/>
            </w:pPr>
            <w:r>
              <w:rPr>
                <w:rFonts w:ascii="Consolas" w:cs="Consolas" w:eastAsia="Consolas" w:hAnsi="Consolas"/>
                <w:color w:val="52525B"/>
                <w:sz w:val="14"/>
                <w:szCs w:val="14"/>
              </w:rPr>
              <w:t xml:space="preserve">AI ADOPTION</w:t>
            </w:r>
          </w:p>
          <w:p>
            <w:pPr>
              <w:jc w:val="center"/>
            </w:pPr>
            <w:r>
              <w:rPr>
                <w:rFonts w:ascii="Consolas" w:cs="Consolas" w:eastAsia="Consolas" w:hAnsi="Consolas"/>
                <w:color w:val="A1A1AA"/>
                <w:sz w:val="12"/>
                <w:szCs w:val="12"/>
              </w:rPr>
              <w:t xml:space="preserve">McKinsey 2025</w:t>
            </w:r>
          </w:p>
        </w:tc>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53%</w:t>
            </w:r>
          </w:p>
          <w:p>
            <w:pPr>
              <w:jc w:val="center"/>
            </w:pPr>
            <w:r>
              <w:rPr>
                <w:rFonts w:ascii="Consolas" w:cs="Consolas" w:eastAsia="Consolas" w:hAnsi="Consolas"/>
                <w:color w:val="52525B"/>
                <w:sz w:val="14"/>
                <w:szCs w:val="14"/>
              </w:rPr>
              <w:t xml:space="preserve">PRODUCTIVITY BOOST</w:t>
            </w:r>
          </w:p>
          <w:p>
            <w:pPr>
              <w:jc w:val="center"/>
            </w:pPr>
            <w:r>
              <w:rPr>
                <w:rFonts w:ascii="Consolas" w:cs="Consolas" w:eastAsia="Consolas" w:hAnsi="Consolas"/>
                <w:color w:val="A1A1AA"/>
                <w:sz w:val="12"/>
                <w:szCs w:val="12"/>
              </w:rPr>
              <w:t xml:space="preserve">McKinsey/WEF 2025</w:t>
            </w:r>
          </w:p>
        </w:tc>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500%</w:t>
            </w:r>
          </w:p>
          <w:p>
            <w:pPr>
              <w:jc w:val="center"/>
            </w:pPr>
            <w:r>
              <w:rPr>
                <w:rFonts w:ascii="Consolas" w:cs="Consolas" w:eastAsia="Consolas" w:hAnsi="Consolas"/>
                <w:color w:val="52525B"/>
                <w:sz w:val="14"/>
                <w:szCs w:val="14"/>
              </w:rPr>
              <w:t xml:space="preserve">PREDICTIVE MAINT. ROI</w:t>
            </w:r>
          </w:p>
          <w:p>
            <w:pPr>
              <w:jc w:val="center"/>
            </w:pPr>
            <w:r>
              <w:rPr>
                <w:rFonts w:ascii="Consolas" w:cs="Consolas" w:eastAsia="Consolas" w:hAnsi="Consolas"/>
                <w:color w:val="A1A1AA"/>
                <w:sz w:val="12"/>
                <w:szCs w:val="12"/>
              </w:rPr>
              <w:t xml:space="preserve">Tech-Stack 2025</w:t>
            </w:r>
          </w:p>
        </w:tc>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$155B</w:t>
            </w:r>
          </w:p>
          <w:p>
            <w:pPr>
              <w:jc w:val="center"/>
            </w:pPr>
            <w:r>
              <w:rPr>
                <w:rFonts w:ascii="Consolas" w:cs="Consolas" w:eastAsia="Consolas" w:hAnsi="Consolas"/>
                <w:color w:val="52525B"/>
                <w:sz w:val="14"/>
                <w:szCs w:val="14"/>
              </w:rPr>
              <w:t xml:space="preserve">AI IN MFG BY 2030</w:t>
            </w:r>
          </w:p>
          <w:p>
            <w:pPr>
              <w:jc w:val="center"/>
            </w:pPr>
            <w:r>
              <w:rPr>
                <w:rFonts w:ascii="Consolas" w:cs="Consolas" w:eastAsia="Consolas" w:hAnsi="Consolas"/>
                <w:color w:val="A1A1AA"/>
                <w:sz w:val="12"/>
                <w:szCs w:val="12"/>
              </w:rPr>
              <w:t xml:space="preserve">Industry Reports</w:t>
            </w:r>
          </w:p>
        </w:tc>
      </w:tr>
    </w:tbl>
    <w:p>
      <w:pPr>
        <w:spacing w:before="200"/>
      </w:pPr>
    </w:p>
    <w:p>
      <w:pPr>
        <w:pStyle w:val="Heading3"/>
        <w:spacing w:after="150" w:before="300"/>
      </w:pPr>
      <w:r>
        <w:rPr>
          <w:rFonts w:ascii="Georgia" w:cs="Georgia" w:eastAsia="Georgia" w:hAnsi="Georgia"/>
          <w:b/>
          <w:bCs/>
          <w:sz w:val="24"/>
          <w:szCs w:val="24"/>
        </w:rPr>
        <w:t xml:space="preserve">Industry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Year</w:t>
            </w:r>
          </w:p>
        </w:tc>
        <w:tc>
          <w:tcPr>
            <w:tcW w:type="dxa" w:w="2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Milestone</w:t>
            </w:r>
          </w:p>
        </w:tc>
        <w:tc>
          <w:tcPr>
            <w:tcW w:type="dxa" w:w="57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AI Copilots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Copilot, Gemini, ClickUp Brain — AI assists, humans decide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AI Agents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AI acts autonomously — books, flags, follows 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Connected Systems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Machines talk to each other, predict failures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Digital Twins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Test spaces and layouts virtually before building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AI End-to-End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Concept to logistics, fully orchestrated</w:t>
            </w:r>
          </w:p>
        </w:tc>
      </w:tr>
    </w:tbl>
    <w:p>
      <w:pPr>
        <w:spacing w:before="120"/>
      </w:pPr>
    </w:p>
    <w:p>
      <w:pPr>
        <w:pStyle w:val="Heading3"/>
        <w:spacing w:after="150" w:before="300"/>
      </w:pPr>
      <w:r>
        <w:rPr>
          <w:rFonts w:ascii="Georgia" w:cs="Georgia" w:eastAsia="Georgia" w:hAnsi="Georgia"/>
          <w:b/>
          <w:bCs/>
          <w:sz w:val="24"/>
          <w:szCs w:val="24"/>
        </w:rPr>
        <w:t xml:space="preserve">Taylor Group’s AI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Year</w:t>
            </w:r>
          </w:p>
        </w:tc>
        <w:tc>
          <w:tcPr>
            <w:tcW w:type="dxa" w:w="2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Milestone</w:t>
            </w:r>
          </w:p>
        </w:tc>
        <w:tc>
          <w:tcPr>
            <w:tcW w:type="dxa" w:w="57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Digital Backbone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Audit, quick wins, first agents deployed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2027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AI-Powered Ops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Automated proposals, predictive logistics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Autonomous Ops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Agents run staffing, logistics, reporting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Experience Twins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Test events and spaces virtually, iterate fast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2036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Industry Leader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 century of knowledge, fully activated by AI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3"/>
              <w:left w:val="single" w:color="CCCCCC" w:sz="1"/>
              <w:bottom w:val="single" w:color="CCCCCC" w:sz="1"/>
              <w:right w:val="single" w:color="CCCCCC" w:sz="1"/>
            </w:tcBorders>
            <w:shd w:fill="FFFFFF" w:val="clear"/>
            <w:tcMar>
              <w:top w:type="dxa" w:w="160"/>
              <w:left w:type="dxa" w:w="200"/>
              <w:bottom w:type="dxa" w:w="160"/>
              <w:right w:type="dxa" w:w="200"/>
            </w:tcMar>
          </w:tcPr>
          <w:p>
            <w:pPr>
              <w:spacing w:after="120"/>
            </w:pPr>
            <w:r>
              <w:rPr>
                <w:rFonts w:ascii="Georgia" w:cs="Georgia" w:eastAsia="Georgia" w:hAnsi="Georgia"/>
                <w:b/>
                <w:bCs/>
                <w:color w:val="2563EB"/>
                <w:sz w:val="26"/>
                <w:szCs w:val="26"/>
              </w:rPr>
              <w:t xml:space="preserve">Horizon 1: Now → 12 months</w:t>
            </w:r>
          </w:p>
          <w:p>
            <w:pPr>
              <w:pStyle w:val="ListParagraph"/>
              <w:numPr>
                <w:ilvl w:val="0"/>
                <w:numId w:val="2"/>
              </w:numPr>
              <w:spacing w:after="60"/>
              <w:ind w:left="240"/>
            </w:pPr>
            <w:r>
              <w:rPr>
                <w:rFonts w:ascii="Calibri" w:cs="Calibri" w:eastAsia="Calibri" w:hAnsi="Calibri"/>
                <w:color w:val="52525B"/>
                <w:sz w:val="20"/>
                <w:szCs w:val="20"/>
              </w:rPr>
              <w:t xml:space="preserve">88% of orgs use AI in at least one function; worker access rose 50% in 2025 — McKinsey</w:t>
            </w:r>
          </w:p>
          <w:p>
            <w:pPr>
              <w:pStyle w:val="ListParagraph"/>
              <w:numPr>
                <w:ilvl w:val="0"/>
                <w:numId w:val="2"/>
              </w:numPr>
              <w:spacing w:after="60"/>
              <w:ind w:left="240"/>
            </w:pPr>
            <w:r>
              <w:rPr>
                <w:rFonts w:ascii="Calibri" w:cs="Calibri" w:eastAsia="Calibri" w:hAnsi="Calibri"/>
                <w:color w:val="52525B"/>
                <w:sz w:val="20"/>
                <w:szCs w:val="20"/>
              </w:rPr>
              <w:t xml:space="preserve">Lighthouse factories: 53% labor productivity boost, 26% cost reduction — McKinsey/WEF</w:t>
            </w:r>
          </w:p>
          <w:p>
            <w:pPr>
              <w:pStyle w:val="ListParagraph"/>
              <w:numPr>
                <w:ilvl w:val="0"/>
                <w:numId w:val="2"/>
              </w:numPr>
              <w:spacing w:after="60"/>
              <w:ind w:left="240"/>
            </w:pPr>
            <w:r>
              <w:rPr>
                <w:rFonts w:ascii="Calibri" w:cs="Calibri" w:eastAsia="Calibri" w:hAnsi="Calibri"/>
                <w:color w:val="52525B"/>
                <w:sz w:val="20"/>
                <w:szCs w:val="20"/>
              </w:rPr>
              <w:t xml:space="preserve">95% of manufacturers invested or planning to invest in AI automation — Tech-Stack</w:t>
            </w:r>
          </w:p>
          <w:p>
            <w:pPr>
              <w:pStyle w:val="ListParagraph"/>
              <w:numPr>
                <w:ilvl w:val="0"/>
                <w:numId w:val="2"/>
              </w:numPr>
              <w:spacing w:after="60"/>
              <w:ind w:left="240"/>
            </w:pPr>
            <w:r>
              <w:rPr>
                <w:rFonts w:ascii="Calibri" w:cs="Calibri" w:eastAsia="Calibri" w:hAnsi="Calibri"/>
                <w:color w:val="52525B"/>
                <w:sz w:val="20"/>
                <w:szCs w:val="20"/>
              </w:rPr>
              <w:t xml:space="preserve">Microsoft 365 Copilot now ships agentic capabilities at $30/user/month</w:t>
            </w:r>
          </w:p>
          <w:p>
            <w:pPr>
              <w:pStyle w:val="ListParagraph"/>
              <w:numPr>
                <w:ilvl w:val="0"/>
                <w:numId w:val="2"/>
              </w:numPr>
              <w:spacing w:after="60"/>
              <w:ind w:left="240"/>
            </w:pPr>
            <w:r>
              <w:rPr>
                <w:rFonts w:ascii="Calibri" w:cs="Calibri" w:eastAsia="Calibri" w:hAnsi="Calibri"/>
                <w:color w:val="52525B"/>
                <w:sz w:val="20"/>
                <w:szCs w:val="20"/>
              </w:rPr>
              <w:t xml:space="preserve">Quick wins available now: the tools Taylor already owns are evolving fast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3"/>
              <w:left w:val="single" w:color="CCCCCC" w:sz="1"/>
              <w:bottom w:val="single" w:color="CCCCCC" w:sz="1"/>
              <w:right w:val="single" w:color="CCCCCC" w:sz="1"/>
            </w:tcBorders>
            <w:shd w:fill="FFFFFF" w:val="clear"/>
            <w:tcMar>
              <w:top w:type="dxa" w:w="160"/>
              <w:left w:type="dxa" w:w="200"/>
              <w:bottom w:type="dxa" w:w="160"/>
              <w:right w:type="dxa" w:w="200"/>
            </w:tcMar>
          </w:tcPr>
          <w:p>
            <w:pPr>
              <w:spacing w:after="120"/>
            </w:pPr>
            <w:r>
              <w:rPr>
                <w:rFonts w:ascii="Georgia" w:cs="Georgia" w:eastAsia="Georgia" w:hAnsi="Georgia"/>
                <w:b/>
                <w:bCs/>
                <w:color w:val="B45309"/>
                <w:sz w:val="26"/>
                <w:szCs w:val="26"/>
              </w:rPr>
              <w:t xml:space="preserve">Horizon 2: 1–3 Years</w:t>
            </w:r>
          </w:p>
          <w:p>
            <w:pPr>
              <w:pStyle w:val="ListParagraph"/>
              <w:numPr>
                <w:ilvl w:val="0"/>
                <w:numId w:val="2"/>
              </w:numPr>
              <w:spacing w:after="60"/>
              <w:ind w:left="240"/>
            </w:pPr>
            <w:r>
              <w:rPr>
                <w:rFonts w:ascii="Calibri" w:cs="Calibri" w:eastAsia="Calibri" w:hAnsi="Calibri"/>
                <w:color w:val="52525B"/>
                <w:sz w:val="20"/>
                <w:szCs w:val="20"/>
              </w:rPr>
              <w:t xml:space="preserve">Agentic AI replaces chatbots — Microsoft 2026 Wave 1: autonomous agents in Dynamics 365</w:t>
            </w:r>
          </w:p>
          <w:p>
            <w:pPr>
              <w:pStyle w:val="ListParagraph"/>
              <w:numPr>
                <w:ilvl w:val="0"/>
                <w:numId w:val="2"/>
              </w:numPr>
              <w:spacing w:after="60"/>
              <w:ind w:left="240"/>
            </w:pPr>
            <w:r>
              <w:rPr>
                <w:rFonts w:ascii="Calibri" w:cs="Calibri" w:eastAsia="Calibri" w:hAnsi="Calibri"/>
                <w:color w:val="52525B"/>
                <w:sz w:val="20"/>
                <w:szCs w:val="20"/>
              </w:rPr>
              <w:t xml:space="preserve">By 2026: 45% of G2000 OEMs connect field + engineering data via AI — IDC</w:t>
            </w:r>
          </w:p>
          <w:p>
            <w:pPr>
              <w:pStyle w:val="ListParagraph"/>
              <w:numPr>
                <w:ilvl w:val="0"/>
                <w:numId w:val="2"/>
              </w:numPr>
              <w:spacing w:after="60"/>
              <w:ind w:left="240"/>
            </w:pPr>
            <w:r>
              <w:rPr>
                <w:rFonts w:ascii="Calibri" w:cs="Calibri" w:eastAsia="Calibri" w:hAnsi="Calibri"/>
                <w:color w:val="52525B"/>
                <w:sz w:val="20"/>
                <w:szCs w:val="20"/>
              </w:rPr>
              <w:t xml:space="preserve">Digital twins: $24.5B market, ~75% adoption in advanced industries — McKinsey</w:t>
            </w:r>
          </w:p>
          <w:p>
            <w:pPr>
              <w:pStyle w:val="ListParagraph"/>
              <w:numPr>
                <w:ilvl w:val="0"/>
                <w:numId w:val="2"/>
              </w:numPr>
              <w:spacing w:after="60"/>
              <w:ind w:left="240"/>
            </w:pPr>
            <w:r>
              <w:rPr>
                <w:rFonts w:ascii="Calibri" w:cs="Calibri" w:eastAsia="Calibri" w:hAnsi="Calibri"/>
                <w:color w:val="52525B"/>
                <w:sz w:val="20"/>
                <w:szCs w:val="20"/>
              </w:rPr>
              <w:t xml:space="preserve">Predictive maintenance: 300–500% ROI; computer vision QC: 200–300% ROI — Tech-Stack</w:t>
            </w:r>
          </w:p>
          <w:p>
            <w:pPr>
              <w:pStyle w:val="ListParagraph"/>
              <w:numPr>
                <w:ilvl w:val="0"/>
                <w:numId w:val="2"/>
              </w:numPr>
              <w:spacing w:after="60"/>
              <w:ind w:left="240"/>
            </w:pPr>
            <w:r>
              <w:rPr>
                <w:rFonts w:ascii="Calibri" w:cs="Calibri" w:eastAsia="Calibri" w:hAnsi="Calibri"/>
                <w:color w:val="52525B"/>
                <w:sz w:val="20"/>
                <w:szCs w:val="20"/>
              </w:rPr>
              <w:t xml:space="preserve">Jack Morton + Impact XM merged (Jan 2026) — competitors consolidating around data platforms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9959" w:sz="3"/>
              <w:left w:val="single" w:color="CCCCCC" w:sz="1"/>
              <w:bottom w:val="single" w:color="CCCCCC" w:sz="1"/>
              <w:right w:val="single" w:color="CCCCCC" w:sz="1"/>
            </w:tcBorders>
            <w:shd w:fill="FFFFFF" w:val="clear"/>
            <w:tcMar>
              <w:top w:type="dxa" w:w="160"/>
              <w:left w:type="dxa" w:w="200"/>
              <w:bottom w:type="dxa" w:w="160"/>
              <w:right w:type="dxa" w:w="200"/>
            </w:tcMar>
          </w:tcPr>
          <w:p>
            <w:pPr>
              <w:spacing w:after="40"/>
            </w:pPr>
            <w:r>
              <w:rPr>
                <w:rFonts w:ascii="Georgia" w:cs="Georgia" w:eastAsia="Georgia" w:hAnsi="Georgia"/>
                <w:b/>
                <w:bCs/>
                <w:color w:val="1A9959"/>
                <w:sz w:val="26"/>
                <w:szCs w:val="26"/>
              </w:rPr>
              <w:t xml:space="preserve">Horizon 3: 5–10 Years</w:t>
            </w:r>
          </w:p>
          <w:p>
            <w:pPr>
              <w:spacing w:after="100"/>
            </w:pPr>
            <w:r>
              <w:rPr>
                <w:rFonts w:ascii="Calibri" w:cs="Calibri" w:eastAsia="Calibri" w:hAnsi="Calibri"/>
                <w:i/>
                <w:iCs/>
                <w:color w:val="52525B"/>
                <w:sz w:val="18"/>
                <w:szCs w:val="18"/>
              </w:rPr>
              <w:t xml:space="preserve">Where We See Taylor Group in 2036</w:t>
            </w:r>
          </w:p>
          <w:p>
            <w:pPr>
              <w:pStyle w:val="ListParagraph"/>
              <w:numPr>
                <w:ilvl w:val="0"/>
                <w:numId w:val="2"/>
              </w:numPr>
              <w:spacing w:after="60"/>
              <w:ind w:left="240"/>
            </w:pPr>
            <w:r>
              <w:rPr>
                <w:rFonts w:ascii="Calibri" w:cs="Calibri" w:eastAsia="Calibri" w:hAnsi="Calibri"/>
                <w:color w:val="52525B"/>
                <w:sz w:val="20"/>
                <w:szCs w:val="20"/>
              </w:rPr>
              <w:t xml:space="preserve">AI in manufacturing: $34B → $155B by 2030 at 35% CAGR — backbone builders become leaders</w:t>
            </w:r>
          </w:p>
          <w:p>
            <w:pPr>
              <w:pStyle w:val="ListParagraph"/>
              <w:numPr>
                <w:ilvl w:val="0"/>
                <w:numId w:val="2"/>
              </w:numPr>
              <w:spacing w:after="60"/>
              <w:ind w:left="240"/>
            </w:pPr>
            <w:r>
              <w:rPr>
                <w:rFonts w:ascii="Calibri" w:cs="Calibri" w:eastAsia="Calibri" w:hAnsi="Calibri"/>
                <w:color w:val="52525B"/>
                <w:sz w:val="20"/>
                <w:szCs w:val="20"/>
              </w:rPr>
              <w:t xml:space="preserve">Digital twin market: $24.5B today, projected to exceed $250B by 2034 — virtual replicas of warehouses, assets, spaces</w:t>
            </w:r>
          </w:p>
          <w:p>
            <w:pPr>
              <w:pStyle w:val="ListParagraph"/>
              <w:numPr>
                <w:ilvl w:val="0"/>
                <w:numId w:val="2"/>
              </w:numPr>
              <w:spacing w:after="60"/>
              <w:ind w:left="240"/>
            </w:pPr>
            <w:r>
              <w:rPr>
                <w:rFonts w:ascii="Calibri" w:cs="Calibri" w:eastAsia="Calibri" w:hAnsi="Calibri"/>
                <w:color w:val="52525B"/>
                <w:sz w:val="20"/>
                <w:szCs w:val="20"/>
              </w:rPr>
              <w:t xml:space="preserve">By 2028: 65% of G1000 manufacturers integrate AI agents into design/simulation — IDC</w:t>
            </w:r>
          </w:p>
          <w:p>
            <w:pPr>
              <w:pStyle w:val="ListParagraph"/>
              <w:numPr>
                <w:ilvl w:val="0"/>
                <w:numId w:val="2"/>
              </w:numPr>
              <w:spacing w:after="60"/>
              <w:ind w:left="240"/>
            </w:pPr>
            <w:r>
              <w:rPr>
                <w:rFonts w:ascii="Calibri" w:cs="Calibri" w:eastAsia="Calibri" w:hAnsi="Calibri"/>
                <w:color w:val="52525B"/>
                <w:sz w:val="20"/>
                <w:szCs w:val="20"/>
              </w:rPr>
              <w:t xml:space="preserve">By 2029: 30% of factories manage controls centrally via open automation platforms — IDC</w:t>
            </w:r>
          </w:p>
          <w:p>
            <w:pPr>
              <w:pStyle w:val="ListParagraph"/>
              <w:numPr>
                <w:ilvl w:val="0"/>
                <w:numId w:val="2"/>
              </w:numPr>
              <w:spacing w:after="60"/>
              <w:ind w:left="240"/>
            </w:pPr>
            <w:r>
              <w:rPr>
                <w:rFonts w:ascii="Calibri" w:cs="Calibri" w:eastAsia="Calibri" w:hAnsi="Calibri"/>
                <w:color w:val="52525B"/>
                <w:sz w:val="20"/>
                <w:szCs w:val="20"/>
              </w:rPr>
              <w:t xml:space="preserve">Taylor’s 95 years of institutional knowledge + Digital Backbone = moat AI-only entrants can’t replicate</w:t>
            </w:r>
          </w:p>
        </w:tc>
      </w:tr>
    </w:tbl>
    <w:p>
      <w:pPr>
        <w:spacing w:before="200"/>
      </w:pPr>
    </w:p>
    <w:p>
      <w:pPr>
        <w:spacing w:after="160"/>
      </w:pPr>
      <w:r>
        <w:rPr>
          <w:rFonts w:ascii="Calibri" w:cs="Calibri" w:eastAsia="Calibri" w:hAnsi="Calibri"/>
          <w:i/>
          <w:iCs/>
          <w:color w:val="52525B"/>
          <w:sz w:val="22"/>
          <w:szCs w:val="22"/>
        </w:rPr>
        <w:t xml:space="preserve">The gap isn’t between companies that use AI and those that don’t. It’s between those that </w:t>
      </w:r>
      <w:r>
        <w:rPr>
          <w:rFonts w:ascii="Calibri" w:cs="Calibri" w:eastAsia="Calibri" w:hAnsi="Calibri"/>
          <w:b/>
          <w:bCs/>
          <w:sz w:val="22"/>
          <w:szCs w:val="22"/>
        </w:rPr>
        <w:t xml:space="preserve">connected their AI into a backbone</w:t>
      </w:r>
      <w:r>
        <w:rPr>
          <w:rFonts w:ascii="Calibri" w:cs="Calibri" w:eastAsia="Calibri" w:hAnsi="Calibri"/>
          <w:i/>
          <w:iCs/>
          <w:color w:val="52525B"/>
          <w:sz w:val="22"/>
          <w:szCs w:val="22"/>
        </w:rPr>
        <w:t xml:space="preserve"> — and those still running pilots.</w:t>
      </w:r>
    </w:p>
    <w:p>
      <w:r>
        <w:br w:type="page"/>
      </w:r>
    </w:p>
    <w:p>
      <w:pPr>
        <w:pStyle w:val="Heading2"/>
        <w:spacing w:after="150" w:before="300"/>
      </w:pPr>
      <w:r>
        <w:rPr>
          <w:rFonts w:ascii="Georgia" w:cs="Georgia" w:eastAsia="Georgia" w:hAnsi="Georgia"/>
          <w:b/>
          <w:bCs/>
          <w:sz w:val="28"/>
          <w:szCs w:val="28"/>
        </w:rPr>
        <w:t xml:space="preserve">What Your Competitors Are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E6" w:sz="2"/>
              <w:left w:val="single" w:color="CCCCCC" w:sz="1"/>
              <w:bottom w:val="single" w:color="CCCCCC" w:sz="1"/>
              <w:right w:val="single" w:color="CCCCCC" w:sz="1"/>
            </w:tcBorders>
            <w:tcMar>
              <w:top w:type="dxa" w:w="120"/>
              <w:left w:type="dxa" w:w="200"/>
              <w:bottom w:type="dxa" w:w="120"/>
              <w:right w:type="dxa" w:w="200"/>
            </w:tcMar>
          </w:tcPr>
          <w:p>
            <w:pPr>
              <w:spacing w:after="60"/>
            </w:pPr>
            <w:r>
              <w:rPr>
                <w:rFonts w:ascii="Georgia" w:cs="Georgia" w:eastAsia="Georgia" w:hAnsi="Georgia"/>
                <w:b/>
                <w:bCs/>
                <w:sz w:val="24"/>
                <w:szCs w:val="24"/>
              </w:rPr>
              <w:t xml:space="preserve">Jack Morton + Impact XM</w:t>
            </w:r>
          </w:p>
          <w:p>
            <w:pPr>
              <w:spacing w:after="160"/>
            </w:pPr>
            <w:r>
              <w:rPr>
                <w:rFonts w:ascii="Calibri" w:cs="Calibri" w:eastAsia="Calibri" w:hAnsi="Calibri"/>
                <w:color w:val="52525B"/>
                <w:sz w:val="22"/>
                <w:szCs w:val="22"/>
              </w:rPr>
              <w:t xml:space="preserve">Merged in January 2026 to combine their client lists and data. Their bet: one bigger company with shared measurement tools can win more enterprise contracts — and prove ROI faster.</w:t>
            </w:r>
          </w:p>
          <w:p>
            <w:pPr>
              <w:spacing w:after="60"/>
            </w:pPr>
            <w:r>
              <w:rPr>
                <w:rFonts w:ascii="Calibri" w:cs="Calibri" w:eastAsia="Calibri" w:hAnsi="Calibri"/>
                <w:i/>
                <w:iCs/>
                <w:color w:val="7A7AE6"/>
                <w:sz w:val="20"/>
                <w:szCs w:val="20"/>
              </w:rPr>
              <w:t xml:space="preserve">They’re getting bigger to move faster. Scale is their strategy.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E6" w:sz="2"/>
              <w:left w:val="single" w:color="CCCCCC" w:sz="1"/>
              <w:bottom w:val="single" w:color="CCCCCC" w:sz="1"/>
              <w:right w:val="single" w:color="CCCCCC" w:sz="1"/>
            </w:tcBorders>
            <w:tcMar>
              <w:top w:type="dxa" w:w="120"/>
              <w:left w:type="dxa" w:w="200"/>
              <w:bottom w:type="dxa" w:w="120"/>
              <w:right w:type="dxa" w:w="200"/>
            </w:tcMar>
          </w:tcPr>
          <w:p>
            <w:pPr>
              <w:spacing w:after="60"/>
            </w:pPr>
            <w:r>
              <w:rPr>
                <w:rFonts w:ascii="Georgia" w:cs="Georgia" w:eastAsia="Georgia" w:hAnsi="Georgia"/>
                <w:b/>
                <w:bCs/>
                <w:sz w:val="24"/>
                <w:szCs w:val="24"/>
              </w:rPr>
              <w:t xml:space="preserve">Freeman</w:t>
            </w:r>
          </w:p>
          <w:p>
            <w:pPr>
              <w:spacing w:after="160"/>
            </w:pPr>
            <w:r>
              <w:rPr>
                <w:rFonts w:ascii="Calibri" w:cs="Calibri" w:eastAsia="Calibri" w:hAnsi="Calibri"/>
                <w:color w:val="52525B"/>
                <w:sz w:val="22"/>
                <w:szCs w:val="22"/>
              </w:rPr>
              <w:t xml:space="preserve">The largest event services company in the industry. Already using virtual/augmented reality in activations and AI to manage event logistics. They measure everything digitally.</w:t>
            </w:r>
          </w:p>
          <w:p>
            <w:pPr>
              <w:spacing w:after="60"/>
            </w:pPr>
            <w:r>
              <w:rPr>
                <w:rFonts w:ascii="Calibri" w:cs="Calibri" w:eastAsia="Calibri" w:hAnsi="Calibri"/>
                <w:i/>
                <w:iCs/>
                <w:color w:val="7A7AE6"/>
                <w:sz w:val="20"/>
                <w:szCs w:val="20"/>
              </w:rPr>
              <w:t xml:space="preserve">They’re not experimenting — they’re operating with AI today.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E6" w:sz="2"/>
              <w:left w:val="single" w:color="CCCCCC" w:sz="1"/>
              <w:bottom w:val="single" w:color="CCCCCC" w:sz="1"/>
              <w:right w:val="single" w:color="CCCCCC" w:sz="1"/>
            </w:tcBorders>
            <w:tcMar>
              <w:top w:type="dxa" w:w="120"/>
              <w:left w:type="dxa" w:w="200"/>
              <w:bottom w:type="dxa" w:w="120"/>
              <w:right w:type="dxa" w:w="200"/>
            </w:tcMar>
          </w:tcPr>
          <w:p>
            <w:pPr>
              <w:spacing w:after="60"/>
            </w:pPr>
            <w:r>
              <w:rPr>
                <w:rFonts w:ascii="Georgia" w:cs="Georgia" w:eastAsia="Georgia" w:hAnsi="Georgia"/>
                <w:b/>
                <w:bCs/>
                <w:sz w:val="24"/>
                <w:szCs w:val="24"/>
              </w:rPr>
              <w:t xml:space="preserve">George P. Johnson (GPJ)</w:t>
            </w:r>
          </w:p>
          <w:p>
            <w:pPr>
              <w:spacing w:after="160"/>
            </w:pPr>
            <w:r>
              <w:rPr>
                <w:rFonts w:ascii="Calibri" w:cs="Calibri" w:eastAsia="Calibri" w:hAnsi="Calibri"/>
                <w:color w:val="52525B"/>
                <w:sz w:val="22"/>
                <w:szCs w:val="22"/>
              </w:rPr>
              <w:t xml:space="preserve">Part of Project Worldwide. Building experiences that blend physical and digital — from design through production. Using technology across the entire creative process.</w:t>
            </w:r>
          </w:p>
          <w:p>
            <w:pPr>
              <w:spacing w:after="60"/>
            </w:pPr>
            <w:r>
              <w:rPr>
                <w:rFonts w:ascii="Calibri" w:cs="Calibri" w:eastAsia="Calibri" w:hAnsi="Calibri"/>
                <w:i/>
                <w:iCs/>
                <w:color w:val="7A7AE6"/>
                <w:sz w:val="20"/>
                <w:szCs w:val="20"/>
              </w:rPr>
              <w:t xml:space="preserve">They’re embedding tech into every step, not just the final event.</w:t>
            </w:r>
          </w:p>
        </w:tc>
      </w:tr>
    </w:tbl>
    <w:p>
      <w:pPr>
        <w:spacing w:before="120"/>
      </w:pPr>
    </w:p>
    <w:p>
      <w:pPr>
        <w:spacing w:after="160"/>
      </w:pPr>
      <w:r>
        <w:rPr>
          <w:rFonts w:ascii="Calibri" w:cs="Calibri" w:eastAsia="Calibri" w:hAnsi="Calibri"/>
          <w:i/>
          <w:iCs/>
          <w:color w:val="52525B"/>
          <w:sz w:val="22"/>
          <w:szCs w:val="22"/>
        </w:rPr>
        <w:t xml:space="preserve">Your competitors aren’t waiting. Taylor’s advantage: 95 years of institutional knowledge and a team ready to activate — but that window won’t stay open.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7A7AE6" w:sz="6"/>
              <w:bottom w:val="single" w:color="CCCCCC" w:sz="1"/>
              <w:right w:val="single" w:color="CCCCCC" w:sz="1"/>
            </w:tcBorders>
            <w:shd w:fill="EDEDFC" w:val="clear"/>
            <w:tcMar>
              <w:top w:type="dxa" w:w="120"/>
              <w:left w:type="dxa" w:w="200"/>
              <w:bottom w:type="dxa" w:w="120"/>
              <w:right w:type="dxa" w:w="200"/>
            </w:tcMar>
          </w:tcPr>
          <w:p>
            <w:pPr>
              <w:spacing w:after="40"/>
            </w:pPr>
            <w:r>
              <w:rPr>
                <w:rFonts w:ascii="Consolas" w:cs="Consolas" w:eastAsia="Consolas" w:hAnsi="Consolas"/>
                <w:b/>
                <w:bCs/>
                <w:color w:val="7A7AE6"/>
                <w:sz w:val="16"/>
                <w:szCs w:val="16"/>
              </w:rPr>
              <w:t xml:space="preserve">THE TRANSFORMATION REALITY</w:t>
            </w:r>
          </w:p>
          <w:p>
            <w:pPr>
              <w:spacing w:after="160"/>
            </w:pPr>
            <w:r>
              <w:rPr>
                <w:rFonts w:ascii="Calibri" w:cs="Calibri" w:eastAsia="Calibri" w:hAnsi="Calibri"/>
                <w:b/>
                <w:bCs/>
                <w:sz w:val="22"/>
                <w:szCs w:val="22"/>
              </w:rPr>
              <w:t xml:space="preserve">Only 16%</w:t>
            </w:r>
            <w:r>
              <w:rPr>
                <w:rFonts w:ascii="Calibri" w:cs="Calibri" w:eastAsia="Calibri" w:hAnsi="Calibri"/>
                <w:color w:val="52525B"/>
                <w:sz w:val="22"/>
                <w:szCs w:val="22"/>
              </w:rPr>
              <w:t xml:space="preserve"> of digital transformations fully succeed — McKinsey 2025. </w:t>
            </w:r>
            <w:r>
              <w:rPr>
                <w:rFonts w:ascii="Calibri" w:cs="Calibri" w:eastAsia="Calibri" w:hAnsi="Calibri"/>
                <w:b/>
                <w:bCs/>
                <w:sz w:val="22"/>
                <w:szCs w:val="22"/>
              </w:rPr>
              <w:t xml:space="preserve">Only 39%</w:t>
            </w:r>
            <w:r>
              <w:rPr>
                <w:rFonts w:ascii="Calibri" w:cs="Calibri" w:eastAsia="Calibri" w:hAnsi="Calibri"/>
                <w:color w:val="52525B"/>
                <w:sz w:val="22"/>
                <w:szCs w:val="22"/>
              </w:rPr>
              <w:t xml:space="preserve"> report enterprise-level EBIT impact from AI. </w:t>
            </w:r>
            <w:r>
              <w:rPr>
                <w:rFonts w:ascii="Calibri" w:cs="Calibri" w:eastAsia="Calibri" w:hAnsi="Calibri"/>
                <w:b/>
                <w:bCs/>
                <w:sz w:val="22"/>
                <w:szCs w:val="22"/>
              </w:rPr>
              <w:t xml:space="preserve">53%</w:t>
            </w:r>
            <w:r>
              <w:rPr>
                <w:rFonts w:ascii="Calibri" w:cs="Calibri" w:eastAsia="Calibri" w:hAnsi="Calibri"/>
                <w:color w:val="52525B"/>
                <w:sz w:val="22"/>
                <w:szCs w:val="22"/>
              </w:rPr>
              <w:t xml:space="preserve"> average productivity boost in Lighthouse factories — McKinsey/WEF 2025. </w:t>
            </w:r>
            <w:r>
              <w:rPr>
                <w:rFonts w:ascii="Calibri" w:cs="Calibri" w:eastAsia="Calibri" w:hAnsi="Calibri"/>
                <w:b/>
                <w:bCs/>
                <w:sz w:val="22"/>
                <w:szCs w:val="22"/>
              </w:rPr>
              <w:t xml:space="preserve">~75%</w:t>
            </w:r>
            <w:r>
              <w:rPr>
                <w:rFonts w:ascii="Calibri" w:cs="Calibri" w:eastAsia="Calibri" w:hAnsi="Calibri"/>
                <w:color w:val="52525B"/>
                <w:sz w:val="22"/>
                <w:szCs w:val="22"/>
              </w:rPr>
              <w:t xml:space="preserve"> of advanced-industry companies have adopted digital twin technology. Everyone is buying AI tools. Almost nobody is connecting them.</w:t>
            </w:r>
          </w:p>
        </w:tc>
      </w:tr>
    </w:tbl>
    <w:p>
      <w:pPr>
        <w:spacing w:after="60"/>
        <w:jc w:val="center"/>
      </w:pPr>
      <w:r>
        <w:rPr>
          <w:rFonts w:ascii="Consolas" w:cs="Consolas" w:eastAsia="Consolas" w:hAnsi="Consolas"/>
          <w:color w:val="A1A1AA"/>
          <w:sz w:val="14"/>
          <w:szCs w:val="14"/>
        </w:rPr>
        <w:t xml:space="preserve">Sources: McKinsey State of AI 2025 · McKinsey/WEF Global Lighthouse Network 2025 · IDC FutureScape 2026 · MarketsandMarkets 2025</w:t>
      </w:r>
    </w:p>
    <w:p>
      <w:r>
        <w:br w:type="page"/>
      </w:r>
    </w:p>
    <w:p>
      <w:pPr>
        <w:spacing w:after="60" w:before="120"/>
      </w:pPr>
      <w:r>
        <w:rPr>
          <w:rFonts w:ascii="Consolas" w:cs="Consolas" w:eastAsia="Consolas" w:hAnsi="Consolas"/>
          <w:b/>
          <w:bCs/>
          <w:color w:val="7A7AE6"/>
          <w:sz w:val="18"/>
          <w:szCs w:val="18"/>
        </w:rPr>
        <w:t xml:space="preserve">07 — NEXT STEPS</w:t>
      </w:r>
    </w:p>
    <w:p>
      <w:pPr>
        <w:pStyle w:val="Heading1"/>
        <w:spacing w:after="150" w:before="300"/>
      </w:pPr>
      <w:r>
        <w:rPr>
          <w:rFonts w:ascii="Georgia" w:cs="Georgia" w:eastAsia="Georgia" w:hAnsi="Georgia"/>
          <w:b/>
          <w:bCs/>
          <w:sz w:val="36"/>
          <w:szCs w:val="36"/>
        </w:rPr>
        <w:t xml:space="preserve">Moving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Phase</w:t>
            </w:r>
          </w:p>
        </w:tc>
        <w:tc>
          <w:tcPr>
            <w:tcW w:type="dxa" w:w="20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Duration</w:t>
            </w:r>
          </w:p>
        </w:tc>
        <w:tc>
          <w:tcPr>
            <w:tcW w:type="dxa" w:w="2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Format</w:t>
            </w:r>
          </w:p>
        </w:tc>
        <w:tc>
          <w:tcPr>
            <w:tcW w:type="dxa" w:w="268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Investment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INTAKE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 months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Remote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Fixed project fee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 months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Onsite + remote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Fixed project fee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IMPLEMENTATION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12 weeks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Hybrid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Monthly retainer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STABILIZATION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Ongoing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Remote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Advisory retainer</w:t>
            </w:r>
          </w:p>
        </w:tc>
      </w:tr>
    </w:tbl>
    <w:p>
      <w:pPr>
        <w:pStyle w:val="Heading3"/>
        <w:spacing w:after="150" w:before="300"/>
      </w:pPr>
      <w:r>
        <w:rPr>
          <w:rFonts w:ascii="Georgia" w:cs="Georgia" w:eastAsia="Georgia" w:hAnsi="Georgia"/>
          <w:b/>
          <w:bCs/>
          <w:sz w:val="24"/>
          <w:szCs w:val="24"/>
        </w:rPr>
        <w:t xml:space="preserve">What Taylor Gets</w:t>
      </w:r>
    </w:p>
    <w:p>
      <w:pPr>
        <w:pStyle w:val="ListParagraph"/>
        <w:numPr>
          <w:ilvl w:val="0"/>
          <w:numId w:val="2"/>
        </w:numPr>
        <w:spacing w:after="60"/>
      </w:pPr>
      <w:r>
        <w:rPr>
          <w:rFonts w:ascii="Calibri" w:cs="Calibri" w:eastAsia="Calibri" w:hAnsi="Calibri"/>
          <w:b/>
          <w:bCs/>
          <w:sz w:val="22"/>
          <w:szCs w:val="22"/>
        </w:rPr>
        <w:t xml:space="preserve">INTAKE: </w:t>
      </w:r>
      <w:r>
        <w:rPr>
          <w:rFonts w:ascii="Calibri" w:cs="Calibri" w:eastAsia="Calibri" w:hAnsi="Calibri"/>
          <w:color w:val="52525B"/>
          <w:sz w:val="22"/>
          <w:szCs w:val="22"/>
        </w:rPr>
        <w:t xml:space="preserve">Current-state assessment, technology audit, stakeholder map, scoped proposal for next phases.</w:t>
      </w:r>
    </w:p>
    <w:p>
      <w:pPr>
        <w:pStyle w:val="ListParagraph"/>
        <w:numPr>
          <w:ilvl w:val="0"/>
          <w:numId w:val="2"/>
        </w:numPr>
        <w:spacing w:after="60"/>
      </w:pPr>
      <w:r>
        <w:rPr>
          <w:rFonts w:ascii="Calibri" w:cs="Calibri" w:eastAsia="Calibri" w:hAnsi="Calibri"/>
          <w:b/>
          <w:bCs/>
          <w:sz w:val="22"/>
          <w:szCs w:val="22"/>
        </w:rPr>
        <w:t xml:space="preserve">DISCOVERY: </w:t>
      </w:r>
      <w:r>
        <w:rPr>
          <w:rFonts w:ascii="Calibri" w:cs="Calibri" w:eastAsia="Calibri" w:hAnsi="Calibri"/>
          <w:color w:val="52525B"/>
          <w:sz w:val="22"/>
          <w:szCs w:val="22"/>
        </w:rPr>
        <w:t xml:space="preserve">Process maps, AI readiness evaluation, quick-wins, implementation roadmap.</w:t>
      </w:r>
    </w:p>
    <w:p>
      <w:pPr>
        <w:pStyle w:val="ListParagraph"/>
        <w:numPr>
          <w:ilvl w:val="0"/>
          <w:numId w:val="2"/>
        </w:numPr>
        <w:spacing w:after="60"/>
      </w:pPr>
      <w:r>
        <w:rPr>
          <w:rFonts w:ascii="Calibri" w:cs="Calibri" w:eastAsia="Calibri" w:hAnsi="Calibri"/>
          <w:b/>
          <w:bCs/>
          <w:sz w:val="22"/>
          <w:szCs w:val="22"/>
        </w:rPr>
        <w:t xml:space="preserve">IMPLEMENTATION: </w:t>
      </w:r>
      <w:r>
        <w:rPr>
          <w:rFonts w:ascii="Calibri" w:cs="Calibri" w:eastAsia="Calibri" w:hAnsi="Calibri"/>
          <w:color w:val="52525B"/>
          <w:sz w:val="22"/>
          <w:szCs w:val="22"/>
        </w:rPr>
        <w:t xml:space="preserve">Activated platforms, automations, trained champions, measurable KPIs.</w:t>
      </w:r>
    </w:p>
    <w:p>
      <w:pPr>
        <w:pStyle w:val="ListParagraph"/>
        <w:numPr>
          <w:ilvl w:val="0"/>
          <w:numId w:val="2"/>
        </w:numPr>
        <w:spacing w:after="60"/>
      </w:pPr>
      <w:r>
        <w:rPr>
          <w:rFonts w:ascii="Calibri" w:cs="Calibri" w:eastAsia="Calibri" w:hAnsi="Calibri"/>
          <w:b/>
          <w:bCs/>
          <w:sz w:val="22"/>
          <w:szCs w:val="22"/>
        </w:rPr>
        <w:t xml:space="preserve">STABILIZATION: </w:t>
      </w:r>
      <w:r>
        <w:rPr>
          <w:rFonts w:ascii="Calibri" w:cs="Calibri" w:eastAsia="Calibri" w:hAnsi="Calibri"/>
          <w:color w:val="52525B"/>
          <w:sz w:val="22"/>
          <w:szCs w:val="22"/>
        </w:rPr>
        <w:t xml:space="preserve">Adoption monitoring, optimization, quarterly reviews, knowledge transfer.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7A7AE6" w:sz="6"/>
              <w:bottom w:val="single" w:color="CCCCCC" w:sz="1"/>
              <w:right w:val="single" w:color="CCCCCC" w:sz="1"/>
            </w:tcBorders>
            <w:shd w:fill="EDEDFC" w:val="clear"/>
            <w:tcMar>
              <w:top w:type="dxa" w:w="120"/>
              <w:left w:type="dxa" w:w="200"/>
              <w:bottom w:type="dxa" w:w="120"/>
              <w:right w:type="dxa" w:w="200"/>
            </w:tcMar>
          </w:tcPr>
          <w:p>
            <w:pPr>
              <w:spacing w:after="160"/>
            </w:pPr>
            <w:r>
              <w:rPr>
                <w:rFonts w:ascii="Calibri" w:cs="Calibri" w:eastAsia="Calibri" w:hAnsi="Calibri"/>
                <w:b/>
                <w:bCs/>
                <w:sz w:val="22"/>
                <w:szCs w:val="22"/>
              </w:rPr>
              <w:t xml:space="preserve">Start INTAKE — April 2026.</w:t>
            </w:r>
            <w:r>
              <w:rPr>
                <w:rFonts w:ascii="Calibri" w:cs="Calibri" w:eastAsia="Calibri" w:hAnsi="Calibri"/>
                <w:color w:val="52525B"/>
                <w:sz w:val="22"/>
                <w:szCs w:val="22"/>
              </w:rPr>
              <w:t xml:space="preserve"> A contained, fixed-fee engagement. Comprehensive assessment. Scoped roadmap. No obligation to proceed further.</w:t>
            </w:r>
          </w:p>
        </w:tc>
      </w:tr>
    </w:tbl>
    <w:p>
      <w:pPr>
        <w:spacing w:before="60"/>
      </w:pPr>
    </w:p>
    <w:p>
      <w:pPr>
        <w:spacing w:after="160"/>
      </w:pPr>
      <w:r>
        <w:rPr>
          <w:rFonts w:ascii="Calibri" w:cs="Calibri" w:eastAsia="Calibri" w:hAnsi="Calibri"/>
          <w:i/>
          <w:iCs/>
          <w:color w:val="52525B"/>
          <w:sz w:val="22"/>
          <w:szCs w:val="22"/>
        </w:rPr>
        <w:t xml:space="preserve">If the assessment confirms the opportunity, we proceed. If not, Taylor walks away with a valuable operational audit at minimal cost.</w:t>
      </w:r>
    </w:p>
    <w:p>
      <w:r>
        <w:br w:type="page"/>
      </w:r>
    </w:p>
    <w:p>
      <w:pPr>
        <w:spacing w:after="60" w:before="120"/>
      </w:pPr>
      <w:r>
        <w:rPr>
          <w:rFonts w:ascii="Consolas" w:cs="Consolas" w:eastAsia="Consolas" w:hAnsi="Consolas"/>
          <w:b/>
          <w:bCs/>
          <w:color w:val="7A7AE6"/>
          <w:sz w:val="18"/>
          <w:szCs w:val="18"/>
        </w:rPr>
        <w:t xml:space="preserve">08 — INTAKE PROPOSAL</w:t>
      </w:r>
    </w:p>
    <w:p>
      <w:pPr>
        <w:pStyle w:val="Heading1"/>
        <w:spacing w:after="150" w:before="300"/>
      </w:pPr>
      <w:r>
        <w:rPr>
          <w:rFonts w:ascii="Georgia" w:cs="Georgia" w:eastAsia="Georgia" w:hAnsi="Georgia"/>
          <w:b/>
          <w:bCs/>
          <w:sz w:val="36"/>
          <w:szCs w:val="36"/>
        </w:rPr>
        <w:t xml:space="preserve">The INTAKE: Where Evidence Replaces Assumptions</w:t>
      </w:r>
    </w:p>
    <w:p>
      <w:pPr>
        <w:spacing w:after="160"/>
      </w:pPr>
      <w:r>
        <w:rPr>
          <w:rFonts w:ascii="Calibri" w:cs="Calibri" w:eastAsia="Calibri" w:hAnsi="Calibri"/>
          <w:color w:val="52525B"/>
          <w:sz w:val="22"/>
          <w:szCs w:val="22"/>
        </w:rPr>
        <w:t xml:space="preserve">Our initial assessment identified </w:t>
      </w:r>
      <w:r>
        <w:rPr>
          <w:rFonts w:ascii="Calibri" w:cs="Calibri" w:eastAsia="Calibri" w:hAnsi="Calibri"/>
          <w:b/>
          <w:bCs/>
          <w:sz w:val="22"/>
          <w:szCs w:val="22"/>
        </w:rPr>
        <w:t xml:space="preserve">$1.4M–2.85M in annual operational friction</w:t>
      </w:r>
      <w:r>
        <w:rPr>
          <w:rFonts w:ascii="Calibri" w:cs="Calibri" w:eastAsia="Calibri" w:hAnsi="Calibri"/>
          <w:color w:val="52525B"/>
          <w:sz w:val="22"/>
          <w:szCs w:val="22"/>
        </w:rPr>
        <w:t xml:space="preserve"> across Taylor Group. But these are estimates — directional signals drawn from public data, initial conversations, and pattern recognition. The INTAKE transforms those signals into precision: observed workflows, measured inefficiencies, documented dependencies.</w:t>
      </w:r>
    </w:p>
    <w:p>
      <w:pPr>
        <w:spacing w:after="160"/>
      </w:pPr>
      <w:r>
        <w:rPr>
          <w:rFonts w:ascii="Calibri" w:cs="Calibri" w:eastAsia="Calibri" w:hAnsi="Calibri"/>
          <w:color w:val="52525B"/>
          <w:sz w:val="22"/>
          <w:szCs w:val="22"/>
        </w:rPr>
        <w:t xml:space="preserve">Everything presented so far is a hypothesis. The INTAKE is where we prove it — or disprove it. Either outcome is valuable. Taylor either gains a validated roadmap for transformation, or walks away knowing the current operation is better than we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2 mo</w:t>
            </w:r>
          </w:p>
          <w:p>
            <w:pPr>
              <w:jc w:val="center"/>
            </w:pPr>
            <w:r>
              <w:rPr>
                <w:rFonts w:ascii="Consolas" w:cs="Consolas" w:eastAsia="Consolas" w:hAnsi="Consolas"/>
                <w:color w:val="52525B"/>
                <w:sz w:val="14"/>
                <w:szCs w:val="14"/>
              </w:rPr>
              <w:t xml:space="preserve">DURATION</w:t>
            </w:r>
          </w:p>
        </w:tc>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12</w:t>
            </w:r>
          </w:p>
          <w:p>
            <w:pPr>
              <w:jc w:val="center"/>
            </w:pPr>
            <w:r>
              <w:rPr>
                <w:rFonts w:ascii="Consolas" w:cs="Consolas" w:eastAsia="Consolas" w:hAnsi="Consolas"/>
                <w:color w:val="52525B"/>
                <w:sz w:val="14"/>
                <w:szCs w:val="14"/>
              </w:rPr>
              <w:t xml:space="preserve">STAKEHOLDER INTERVIEWS</w:t>
            </w:r>
          </w:p>
        </w:tc>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3</w:t>
            </w:r>
          </w:p>
          <w:p>
            <w:pPr>
              <w:jc w:val="center"/>
            </w:pPr>
            <w:r>
              <w:rPr>
                <w:rFonts w:ascii="Consolas" w:cs="Consolas" w:eastAsia="Consolas" w:hAnsi="Consolas"/>
                <w:color w:val="52525B"/>
                <w:sz w:val="14"/>
                <w:szCs w:val="14"/>
              </w:rPr>
              <w:t xml:space="preserve">CORE FLOWS MAPPED</w:t>
            </w:r>
          </w:p>
        </w:tc>
        <w:tc>
          <w:tcPr>
            <w:tcW w:type="dxa" w:w="2340"/>
            <w:tcBorders>
              <w:top w:val="none" w:color="FFFFFF" w:sz="0"/>
              <w:left w:val="none" w:color="FFFFFF" w:sz="0"/>
              <w:bottom w:val="none" w:color="FFFFFF" w:sz="0"/>
              <w:right w:val="none" w:color="FFFFFF" w:sz="0"/>
            </w:tcBorders>
            <w:shd w:fill="EDEDFC" w:val="clear"/>
            <w:tcMar>
              <w:top w:type="dxa" w:w="120"/>
              <w:left w:type="dxa" w:w="80"/>
              <w:bottom w:type="dxa" w:w="120"/>
              <w:right w:type="dxa" w:w="80"/>
            </w:tcMar>
          </w:tcPr>
          <w:p>
            <w:pPr>
              <w:spacing w:after="20"/>
              <w:jc w:val="center"/>
            </w:pPr>
            <w:r>
              <w:rPr>
                <w:rFonts w:ascii="Consolas" w:cs="Consolas" w:eastAsia="Consolas" w:hAnsi="Consolas"/>
                <w:b/>
                <w:bCs/>
                <w:color w:val="7A7AE6"/>
                <w:sz w:val="32"/>
                <w:szCs w:val="32"/>
              </w:rPr>
              <w:t xml:space="preserve">5</w:t>
            </w:r>
          </w:p>
          <w:p>
            <w:pPr>
              <w:jc w:val="center"/>
            </w:pPr>
            <w:r>
              <w:rPr>
                <w:rFonts w:ascii="Consolas" w:cs="Consolas" w:eastAsia="Consolas" w:hAnsi="Consolas"/>
                <w:color w:val="52525B"/>
                <w:sz w:val="14"/>
                <w:szCs w:val="14"/>
              </w:rPr>
              <w:t xml:space="preserve">DIMENSIONS ASSESSED</w:t>
            </w:r>
          </w:p>
        </w:tc>
      </w:tr>
    </w:tbl>
    <w:p>
      <w:pPr>
        <w:pStyle w:val="Heading2"/>
        <w:spacing w:after="150" w:before="300"/>
      </w:pPr>
      <w:r>
        <w:rPr>
          <w:rFonts w:ascii="Georgia" w:cs="Georgia" w:eastAsia="Georgia" w:hAnsi="Georgia"/>
          <w:b/>
          <w:bCs/>
          <w:sz w:val="28"/>
          <w:szCs w:val="28"/>
        </w:rPr>
        <w:t xml:space="preserve">Scope of Work</w:t>
      </w:r>
    </w:p>
    <w:p>
      <w:pPr>
        <w:spacing w:after="60" w:before="240"/>
      </w:pPr>
      <w:r>
        <w:rPr>
          <w:rFonts w:ascii="Calibri" w:cs="Calibri" w:eastAsia="Calibri" w:hAnsi="Calibri"/>
          <w:b/>
          <w:bCs/>
          <w:sz w:val="24"/>
          <w:szCs w:val="24"/>
        </w:rPr>
        <w:t xml:space="preserve">1. SOP Documentation &amp; Review</w:t>
      </w:r>
      <w:r>
        <w:rPr>
          <w:rFonts w:ascii="Consolas" w:cs="Consolas" w:eastAsia="Consolas" w:hAnsi="Consolas"/>
          <w:color w:val="2563EB"/>
          <w:sz w:val="16"/>
          <w:szCs w:val="16"/>
        </w:rPr>
        <w:t xml:space="preserve">  [FOUNDATION]</w:t>
      </w:r>
    </w:p>
    <w:p>
      <w:pPr>
        <w:spacing w:after="160"/>
      </w:pPr>
      <w:r>
        <w:rPr>
          <w:rFonts w:ascii="Calibri" w:cs="Calibri" w:eastAsia="Calibri" w:hAnsi="Calibri"/>
          <w:color w:val="52525B"/>
          <w:sz w:val="22"/>
          <w:szCs w:val="22"/>
        </w:rPr>
        <w:t xml:space="preserve">Catalog existing procedures across departments.</w:t>
      </w:r>
    </w:p>
    <w:p>
      <w:pPr>
        <w:spacing w:after="160"/>
      </w:pPr>
      <w:r>
        <w:rPr>
          <w:rFonts w:ascii="Calibri" w:cs="Calibri" w:eastAsia="Calibri" w:hAnsi="Calibri"/>
          <w:color w:val="52525B"/>
          <w:sz w:val="22"/>
          <w:szCs w:val="22"/>
        </w:rPr>
        <w:t xml:space="preserve">Comprehensive inventory of all Standard Operating Procedures across Sales, Production, Creative, Digital, and Healthcare divisions. Gap analysis against industry best practices. Assessment of documentation currency, accessibility, and actual adoption rates.</w:t>
      </w:r>
    </w:p>
    <w:p>
      <w:pPr>
        <w:spacing w:after="40"/>
      </w:pPr>
      <w:r>
        <w:rPr>
          <w:rFonts w:ascii="Consolas" w:cs="Consolas" w:eastAsia="Consolas" w:hAnsi="Consolas"/>
          <w:b/>
          <w:bCs/>
          <w:color w:val="2563EB"/>
          <w:sz w:val="16"/>
          <w:szCs w:val="16"/>
        </w:rPr>
        <w:t xml:space="preserve">OUTPUT: </w:t>
      </w:r>
      <w:r>
        <w:rPr>
          <w:rFonts w:ascii="Calibri" w:cs="Calibri" w:eastAsia="Calibri" w:hAnsi="Calibri"/>
          <w:color w:val="52525B"/>
          <w:sz w:val="20"/>
          <w:szCs w:val="20"/>
        </w:rPr>
        <w:t xml:space="preserve">SOP catalog with gap analysis report, prioritized update recommendations, and standardized documentation templates.</w:t>
      </w:r>
    </w:p>
    <w:p>
      <w:pPr>
        <w:spacing w:after="60" w:before="240"/>
      </w:pPr>
      <w:r>
        <w:rPr>
          <w:rFonts w:ascii="Calibri" w:cs="Calibri" w:eastAsia="Calibri" w:hAnsi="Calibri"/>
          <w:b/>
          <w:bCs/>
          <w:sz w:val="24"/>
          <w:szCs w:val="24"/>
        </w:rPr>
        <w:t xml:space="preserve">2. Technology Audit</w:t>
      </w:r>
      <w:r>
        <w:rPr>
          <w:rFonts w:ascii="Consolas" w:cs="Consolas" w:eastAsia="Consolas" w:hAnsi="Consolas"/>
          <w:color w:val="7A7AE6"/>
          <w:sz w:val="16"/>
          <w:szCs w:val="16"/>
        </w:rPr>
        <w:t xml:space="preserve">  [CORE]</w:t>
      </w:r>
    </w:p>
    <w:p>
      <w:pPr>
        <w:spacing w:after="160"/>
      </w:pPr>
      <w:r>
        <w:rPr>
          <w:rFonts w:ascii="Calibri" w:cs="Calibri" w:eastAsia="Calibri" w:hAnsi="Calibri"/>
          <w:color w:val="52525B"/>
          <w:sz w:val="22"/>
          <w:szCs w:val="22"/>
        </w:rPr>
        <w:t xml:space="preserve">Full inventory of ClickUp, M365, Gemini, and departmental tools.</w:t>
      </w:r>
    </w:p>
    <w:p>
      <w:pPr>
        <w:spacing w:after="160"/>
      </w:pPr>
      <w:r>
        <w:rPr>
          <w:rFonts w:ascii="Calibri" w:cs="Calibri" w:eastAsia="Calibri" w:hAnsi="Calibri"/>
          <w:color w:val="52525B"/>
          <w:sz w:val="22"/>
          <w:szCs w:val="22"/>
        </w:rPr>
        <w:t xml:space="preserve">Architecture review of the entire technology ecosystem: ClickUp configuration and utilization, Microsoft 365 suite activation (including underused features), Google Gemini/AI tool adoption, plus every departmental tool and shadow IT system. License utilization rates, integration gaps, and Brain/AI activation status mapped.</w:t>
      </w:r>
    </w:p>
    <w:p>
      <w:pPr>
        <w:spacing w:after="40"/>
      </w:pPr>
      <w:r>
        <w:rPr>
          <w:rFonts w:ascii="Consolas" w:cs="Consolas" w:eastAsia="Consolas" w:hAnsi="Consolas"/>
          <w:b/>
          <w:bCs/>
          <w:color w:val="7A7AE6"/>
          <w:sz w:val="16"/>
          <w:szCs w:val="16"/>
        </w:rPr>
        <w:t xml:space="preserve">OUTPUT: </w:t>
      </w:r>
      <w:r>
        <w:rPr>
          <w:rFonts w:ascii="Calibri" w:cs="Calibri" w:eastAsia="Calibri" w:hAnsi="Calibri"/>
          <w:color w:val="52525B"/>
          <w:sz w:val="20"/>
          <w:szCs w:val="20"/>
        </w:rPr>
        <w:t xml:space="preserve">Technology stack audit with utilization scores, integration map, license optimization recommendations, and AI readiness assessment.</w:t>
      </w:r>
    </w:p>
    <w:p>
      <w:pPr>
        <w:spacing w:after="60" w:before="240"/>
      </w:pPr>
      <w:r>
        <w:rPr>
          <w:rFonts w:ascii="Calibri" w:cs="Calibri" w:eastAsia="Calibri" w:hAnsi="Calibri"/>
          <w:b/>
          <w:bCs/>
          <w:sz w:val="24"/>
          <w:szCs w:val="24"/>
        </w:rPr>
        <w:t xml:space="preserve">3. Stakeholder Mapping</w:t>
      </w:r>
      <w:r>
        <w:rPr>
          <w:rFonts w:ascii="Consolas" w:cs="Consolas" w:eastAsia="Consolas" w:hAnsi="Consolas"/>
          <w:color w:val="1A9959"/>
          <w:sz w:val="16"/>
          <w:szCs w:val="16"/>
        </w:rPr>
        <w:t xml:space="preserve">  [PEOPLE]</w:t>
      </w:r>
    </w:p>
    <w:p>
      <w:pPr>
        <w:spacing w:after="160"/>
      </w:pPr>
      <w:r>
        <w:rPr>
          <w:rFonts w:ascii="Calibri" w:cs="Calibri" w:eastAsia="Calibri" w:hAnsi="Calibri"/>
          <w:color w:val="52525B"/>
          <w:sz w:val="22"/>
          <w:szCs w:val="22"/>
        </w:rPr>
        <w:t xml:space="preserve">8–12 structured interviews across functions.</w:t>
      </w:r>
    </w:p>
    <w:p>
      <w:pPr>
        <w:spacing w:after="160"/>
      </w:pPr>
      <w:r>
        <w:rPr>
          <w:rFonts w:ascii="Calibri" w:cs="Calibri" w:eastAsia="Calibri" w:hAnsi="Calibri"/>
          <w:color w:val="52525B"/>
          <w:sz w:val="22"/>
          <w:szCs w:val="22"/>
        </w:rPr>
        <w:t xml:space="preserve">Structured interview protocol covering Sales, Production, Creative, Digital, and Healthcare divisions. Each interview maps pain points, wish lists, current workarounds, and organizational dynamics. Identifies champions, blockers, and influence networks critical for transformation adoption.</w:t>
      </w:r>
    </w:p>
    <w:p>
      <w:pPr>
        <w:spacing w:after="40"/>
      </w:pPr>
      <w:r>
        <w:rPr>
          <w:rFonts w:ascii="Consolas" w:cs="Consolas" w:eastAsia="Consolas" w:hAnsi="Consolas"/>
          <w:b/>
          <w:bCs/>
          <w:color w:val="1A9959"/>
          <w:sz w:val="16"/>
          <w:szCs w:val="16"/>
        </w:rPr>
        <w:t xml:space="preserve">OUTPUT: </w:t>
      </w:r>
      <w:r>
        <w:rPr>
          <w:rFonts w:ascii="Calibri" w:cs="Calibri" w:eastAsia="Calibri" w:hAnsi="Calibri"/>
          <w:color w:val="52525B"/>
          <w:sz w:val="20"/>
          <w:szCs w:val="20"/>
        </w:rPr>
        <w:t xml:space="preserve">Synthesized interview findings by department, stakeholder influence map, change readiness assessment, and champion identification.</w:t>
      </w:r>
    </w:p>
    <w:p>
      <w:pPr>
        <w:spacing w:after="60" w:before="240"/>
      </w:pPr>
      <w:r>
        <w:rPr>
          <w:rFonts w:ascii="Calibri" w:cs="Calibri" w:eastAsia="Calibri" w:hAnsi="Calibri"/>
          <w:b/>
          <w:bCs/>
          <w:sz w:val="24"/>
          <w:szCs w:val="24"/>
        </w:rPr>
        <w:t xml:space="preserve">4. Process Mapping</w:t>
      </w:r>
      <w:r>
        <w:rPr>
          <w:rFonts w:ascii="Consolas" w:cs="Consolas" w:eastAsia="Consolas" w:hAnsi="Consolas"/>
          <w:color w:val="B45309"/>
          <w:sz w:val="16"/>
          <w:szCs w:val="16"/>
        </w:rPr>
        <w:t xml:space="preserve">  [OPERATIONS]</w:t>
      </w:r>
    </w:p>
    <w:p>
      <w:pPr>
        <w:spacing w:after="160"/>
      </w:pPr>
      <w:r>
        <w:rPr>
          <w:rFonts w:ascii="Calibri" w:cs="Calibri" w:eastAsia="Calibri" w:hAnsi="Calibri"/>
          <w:color w:val="52525B"/>
          <w:sz w:val="22"/>
          <w:szCs w:val="22"/>
        </w:rPr>
        <w:t xml:space="preserve">End-to-end documentation of 3 core flows.</w:t>
      </w:r>
    </w:p>
    <w:p>
      <w:pPr>
        <w:spacing w:after="160"/>
      </w:pPr>
      <w:r>
        <w:rPr>
          <w:rFonts w:ascii="Calibri" w:cs="Calibri" w:eastAsia="Calibri" w:hAnsi="Calibri"/>
          <w:color w:val="52525B"/>
          <w:sz w:val="22"/>
          <w:szCs w:val="22"/>
        </w:rPr>
        <w:t xml:space="preserve">Detailed documentation of three critical workflows: </w:t>
      </w:r>
      <w:r>
        <w:rPr>
          <w:rFonts w:ascii="Calibri" w:cs="Calibri" w:eastAsia="Calibri" w:hAnsi="Calibri"/>
          <w:b/>
          <w:bCs/>
          <w:sz w:val="22"/>
          <w:szCs w:val="22"/>
        </w:rPr>
        <w:t xml:space="preserve">Sales-to-Production</w:t>
      </w:r>
      <w:r>
        <w:rPr>
          <w:rFonts w:ascii="Calibri" w:cs="Calibri" w:eastAsia="Calibri" w:hAnsi="Calibri"/>
          <w:color w:val="52525B"/>
          <w:sz w:val="22"/>
          <w:szCs w:val="22"/>
        </w:rPr>
        <w:t xml:space="preserve"> (quote through handoff), </w:t>
      </w:r>
      <w:r>
        <w:rPr>
          <w:rFonts w:ascii="Calibri" w:cs="Calibri" w:eastAsia="Calibri" w:hAnsi="Calibri"/>
          <w:b/>
          <w:bCs/>
          <w:sz w:val="22"/>
          <w:szCs w:val="22"/>
        </w:rPr>
        <w:t xml:space="preserve">Creative-to-Fabrication</w:t>
      </w:r>
      <w:r>
        <w:rPr>
          <w:rFonts w:ascii="Calibri" w:cs="Calibri" w:eastAsia="Calibri" w:hAnsi="Calibri"/>
          <w:color w:val="52525B"/>
          <w:sz w:val="22"/>
          <w:szCs w:val="22"/>
        </w:rPr>
        <w:t xml:space="preserve"> (design through build), and </w:t>
      </w:r>
      <w:r>
        <w:rPr>
          <w:rFonts w:ascii="Calibri" w:cs="Calibri" w:eastAsia="Calibri" w:hAnsi="Calibri"/>
          <w:b/>
          <w:bCs/>
          <w:sz w:val="22"/>
          <w:szCs w:val="22"/>
        </w:rPr>
        <w:t xml:space="preserve">Executive Operations</w:t>
      </w:r>
      <w:r>
        <w:rPr>
          <w:rFonts w:ascii="Calibri" w:cs="Calibri" w:eastAsia="Calibri" w:hAnsi="Calibri"/>
          <w:color w:val="52525B"/>
          <w:sz w:val="22"/>
          <w:szCs w:val="22"/>
        </w:rPr>
        <w:t xml:space="preserve"> (reporting, approvals, resource allocation). Each flow mapped with bottlenecks, handoff points, time sinks, and rework loops identified.</w:t>
      </w:r>
    </w:p>
    <w:p>
      <w:pPr>
        <w:spacing w:after="40"/>
      </w:pPr>
      <w:r>
        <w:rPr>
          <w:rFonts w:ascii="Consolas" w:cs="Consolas" w:eastAsia="Consolas" w:hAnsi="Consolas"/>
          <w:b/>
          <w:bCs/>
          <w:color w:val="B45309"/>
          <w:sz w:val="16"/>
          <w:szCs w:val="16"/>
        </w:rPr>
        <w:t xml:space="preserve">OUTPUT: </w:t>
      </w:r>
      <w:r>
        <w:rPr>
          <w:rFonts w:ascii="Calibri" w:cs="Calibri" w:eastAsia="Calibri" w:hAnsi="Calibri"/>
          <w:color w:val="52525B"/>
          <w:sz w:val="20"/>
          <w:szCs w:val="20"/>
        </w:rPr>
        <w:t xml:space="preserve">Visual process maps with narrative documentation, bottleneck analysis, and quantified time/cost impact at each friction point.</w:t>
      </w:r>
    </w:p>
    <w:p>
      <w:pPr>
        <w:spacing w:after="60" w:before="240"/>
      </w:pPr>
      <w:r>
        <w:rPr>
          <w:rFonts w:ascii="Calibri" w:cs="Calibri" w:eastAsia="Calibri" w:hAnsi="Calibri"/>
          <w:b/>
          <w:bCs/>
          <w:sz w:val="24"/>
          <w:szCs w:val="24"/>
        </w:rPr>
        <w:t xml:space="preserve">5. Digital Maturity Assessment</w:t>
      </w:r>
      <w:r>
        <w:rPr>
          <w:rFonts w:ascii="Consolas" w:cs="Consolas" w:eastAsia="Consolas" w:hAnsi="Consolas"/>
          <w:color w:val="7A7AE6"/>
          <w:sz w:val="16"/>
          <w:szCs w:val="16"/>
        </w:rPr>
        <w:t xml:space="preserve">  [CORE]</w:t>
      </w:r>
    </w:p>
    <w:p>
      <w:pPr>
        <w:spacing w:after="160"/>
      </w:pPr>
      <w:r>
        <w:rPr>
          <w:rFonts w:ascii="Calibri" w:cs="Calibri" w:eastAsia="Calibri" w:hAnsi="Calibri"/>
          <w:color w:val="52525B"/>
          <w:sz w:val="22"/>
          <w:szCs w:val="22"/>
        </w:rPr>
        <w:t xml:space="preserve">Five-dimension evaluation across the organization.</w:t>
      </w:r>
    </w:p>
    <w:p>
      <w:pPr>
        <w:spacing w:after="160"/>
      </w:pPr>
      <w:r>
        <w:rPr>
          <w:rFonts w:ascii="Calibri" w:cs="Calibri" w:eastAsia="Calibri" w:hAnsi="Calibri"/>
          <w:color w:val="52525B"/>
          <w:sz w:val="22"/>
          <w:szCs w:val="22"/>
        </w:rPr>
        <w:t xml:space="preserve">Structured assessment across five dimensions: </w:t>
      </w:r>
      <w:r>
        <w:rPr>
          <w:rFonts w:ascii="Calibri" w:cs="Calibri" w:eastAsia="Calibri" w:hAnsi="Calibri"/>
          <w:b/>
          <w:bCs/>
          <w:sz w:val="22"/>
          <w:szCs w:val="22"/>
        </w:rPr>
        <w:t xml:space="preserve">People &amp; Culture</w:t>
      </w:r>
      <w:r>
        <w:rPr>
          <w:rFonts w:ascii="Calibri" w:cs="Calibri" w:eastAsia="Calibri" w:hAnsi="Calibri"/>
          <w:color w:val="52525B"/>
          <w:sz w:val="22"/>
          <w:szCs w:val="22"/>
        </w:rPr>
        <w:t xml:space="preserve"> (digital literacy, change appetite), </w:t>
      </w:r>
      <w:r>
        <w:rPr>
          <w:rFonts w:ascii="Calibri" w:cs="Calibri" w:eastAsia="Calibri" w:hAnsi="Calibri"/>
          <w:b/>
          <w:bCs/>
          <w:sz w:val="22"/>
          <w:szCs w:val="22"/>
        </w:rPr>
        <w:t xml:space="preserve">Processes</w:t>
      </w:r>
      <w:r>
        <w:rPr>
          <w:rFonts w:ascii="Calibri" w:cs="Calibri" w:eastAsia="Calibri" w:hAnsi="Calibri"/>
          <w:color w:val="52525B"/>
          <w:sz w:val="22"/>
          <w:szCs w:val="22"/>
        </w:rPr>
        <w:t xml:space="preserve"> (standardization, automation readiness), </w:t>
      </w:r>
      <w:r>
        <w:rPr>
          <w:rFonts w:ascii="Calibri" w:cs="Calibri" w:eastAsia="Calibri" w:hAnsi="Calibri"/>
          <w:b/>
          <w:bCs/>
          <w:sz w:val="22"/>
          <w:szCs w:val="22"/>
        </w:rPr>
        <w:t xml:space="preserve">Technology</w:t>
      </w:r>
      <w:r>
        <w:rPr>
          <w:rFonts w:ascii="Calibri" w:cs="Calibri" w:eastAsia="Calibri" w:hAnsi="Calibri"/>
          <w:color w:val="52525B"/>
          <w:sz w:val="22"/>
          <w:szCs w:val="22"/>
        </w:rPr>
        <w:t xml:space="preserve"> (stack maturity, integration depth), </w:t>
      </w:r>
      <w:r>
        <w:rPr>
          <w:rFonts w:ascii="Calibri" w:cs="Calibri" w:eastAsia="Calibri" w:hAnsi="Calibri"/>
          <w:b/>
          <w:bCs/>
          <w:sz w:val="22"/>
          <w:szCs w:val="22"/>
        </w:rPr>
        <w:t xml:space="preserve">Data</w:t>
      </w:r>
      <w:r>
        <w:rPr>
          <w:rFonts w:ascii="Calibri" w:cs="Calibri" w:eastAsia="Calibri" w:hAnsi="Calibri"/>
          <w:color w:val="52525B"/>
          <w:sz w:val="22"/>
          <w:szCs w:val="22"/>
        </w:rPr>
        <w:t xml:space="preserve"> (quality, accessibility, governance), and </w:t>
      </w:r>
      <w:r>
        <w:rPr>
          <w:rFonts w:ascii="Calibri" w:cs="Calibri" w:eastAsia="Calibri" w:hAnsi="Calibri"/>
          <w:b/>
          <w:bCs/>
          <w:sz w:val="22"/>
          <w:szCs w:val="22"/>
        </w:rPr>
        <w:t xml:space="preserve">Compliance</w:t>
      </w:r>
      <w:r>
        <w:rPr>
          <w:rFonts w:ascii="Calibri" w:cs="Calibri" w:eastAsia="Calibri" w:hAnsi="Calibri"/>
          <w:color w:val="52525B"/>
          <w:sz w:val="22"/>
          <w:szCs w:val="22"/>
        </w:rPr>
        <w:t xml:space="preserve"> (regulatory, security, privacy). Each dimension scored, benchmarked against industry peers, and gaps identified.</w:t>
      </w:r>
    </w:p>
    <w:p>
      <w:pPr>
        <w:spacing w:after="40"/>
      </w:pPr>
      <w:r>
        <w:rPr>
          <w:rFonts w:ascii="Consolas" w:cs="Consolas" w:eastAsia="Consolas" w:hAnsi="Consolas"/>
          <w:b/>
          <w:bCs/>
          <w:color w:val="7A7AE6"/>
          <w:sz w:val="16"/>
          <w:szCs w:val="16"/>
        </w:rPr>
        <w:t xml:space="preserve">OUTPUT: </w:t>
      </w:r>
      <w:r>
        <w:rPr>
          <w:rFonts w:ascii="Calibri" w:cs="Calibri" w:eastAsia="Calibri" w:hAnsi="Calibri"/>
          <w:color w:val="52525B"/>
          <w:sz w:val="20"/>
          <w:szCs w:val="20"/>
        </w:rPr>
        <w:t xml:space="preserve">Digital Maturity Scorecard with dimension scores, peer benchmarks, gap analysis, and prioritized improvement recommendations.</w:t>
      </w:r>
    </w:p>
    <w:p>
      <w:pPr>
        <w:spacing w:after="60" w:before="240"/>
      </w:pPr>
      <w:r>
        <w:rPr>
          <w:rFonts w:ascii="Calibri" w:cs="Calibri" w:eastAsia="Calibri" w:hAnsi="Calibri"/>
          <w:b/>
          <w:bCs/>
          <w:sz w:val="24"/>
          <w:szCs w:val="24"/>
        </w:rPr>
        <w:t xml:space="preserve">6. Transformation Roadmap</w:t>
      </w:r>
      <w:r>
        <w:rPr>
          <w:rFonts w:ascii="Consolas" w:cs="Consolas" w:eastAsia="Consolas" w:hAnsi="Consolas"/>
          <w:color w:val="2563EB"/>
          <w:sz w:val="16"/>
          <w:szCs w:val="16"/>
        </w:rPr>
        <w:t xml:space="preserve">  [STRATEGY]</w:t>
      </w:r>
    </w:p>
    <w:p>
      <w:pPr>
        <w:spacing w:after="160"/>
      </w:pPr>
      <w:r>
        <w:rPr>
          <w:rFonts w:ascii="Calibri" w:cs="Calibri" w:eastAsia="Calibri" w:hAnsi="Calibri"/>
          <w:color w:val="52525B"/>
          <w:sz w:val="22"/>
          <w:szCs w:val="22"/>
        </w:rPr>
        <w:t xml:space="preserve">Prioritized workstreams + scoped next-phase proposal.</w:t>
      </w:r>
    </w:p>
    <w:p>
      <w:pPr>
        <w:spacing w:after="160"/>
      </w:pPr>
      <w:r>
        <w:rPr>
          <w:rFonts w:ascii="Calibri" w:cs="Calibri" w:eastAsia="Calibri" w:hAnsi="Calibri"/>
          <w:color w:val="52525B"/>
          <w:sz w:val="22"/>
          <w:szCs w:val="22"/>
        </w:rPr>
        <w:t xml:space="preserve">All findings synthesized into a prioritized transformation roadmap. Quick wins (30–60 day impact) separated from strategic plays (6–18 month horizon). Estimated investment ranges for Discovery and Implementation phases. Recommended sequencing based on dependencies, risk, and organizational readiness.</w:t>
      </w:r>
    </w:p>
    <w:p>
      <w:pPr>
        <w:spacing w:after="40"/>
      </w:pPr>
      <w:r>
        <w:rPr>
          <w:rFonts w:ascii="Consolas" w:cs="Consolas" w:eastAsia="Consolas" w:hAnsi="Consolas"/>
          <w:b/>
          <w:bCs/>
          <w:color w:val="2563EB"/>
          <w:sz w:val="16"/>
          <w:szCs w:val="16"/>
        </w:rPr>
        <w:t xml:space="preserve">OUTPUT: </w:t>
      </w:r>
      <w:r>
        <w:rPr>
          <w:rFonts w:ascii="Calibri" w:cs="Calibri" w:eastAsia="Calibri" w:hAnsi="Calibri"/>
          <w:color w:val="52525B"/>
          <w:sz w:val="20"/>
          <w:szCs w:val="20"/>
        </w:rPr>
        <w:t xml:space="preserve">Transformation Roadmap presentation with phased workstreams, investment ranges, risk assessment, and a scoped Discovery proposal ready for Taylor’s review.</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7A7AE6" w:sz="6"/>
              <w:bottom w:val="single" w:color="CCCCCC" w:sz="1"/>
              <w:right w:val="single" w:color="CCCCCC" w:sz="1"/>
            </w:tcBorders>
            <w:shd w:fill="EDEDFC" w:val="clear"/>
            <w:tcMar>
              <w:top w:type="dxa" w:w="120"/>
              <w:left w:type="dxa" w:w="200"/>
              <w:bottom w:type="dxa" w:w="120"/>
              <w:right w:type="dxa" w:w="200"/>
            </w:tcMar>
          </w:tcPr>
          <w:p>
            <w:pPr>
              <w:spacing w:after="40"/>
            </w:pPr>
            <w:r>
              <w:rPr>
                <w:rFonts w:ascii="Consolas" w:cs="Consolas" w:eastAsia="Consolas" w:hAnsi="Consolas"/>
                <w:b/>
                <w:bCs/>
                <w:color w:val="7A7AE6"/>
                <w:sz w:val="16"/>
                <w:szCs w:val="16"/>
              </w:rPr>
              <w:t xml:space="preserve">WHERE THIS FITS</w:t>
            </w:r>
          </w:p>
          <w:p>
            <w:pPr>
              <w:spacing w:after="160"/>
            </w:pPr>
            <w:r>
              <w:rPr>
                <w:rFonts w:ascii="Calibri" w:cs="Calibri" w:eastAsia="Calibri" w:hAnsi="Calibri"/>
                <w:color w:val="52525B"/>
                <w:sz w:val="22"/>
                <w:szCs w:val="22"/>
              </w:rPr>
              <w:t xml:space="preserve">INTAKE + DISCOVERY map primarily to </w:t>
            </w:r>
            <w:r>
              <w:rPr>
                <w:rFonts w:ascii="Calibri" w:cs="Calibri" w:eastAsia="Calibri" w:hAnsi="Calibri"/>
                <w:b/>
                <w:bCs/>
                <w:sz w:val="22"/>
                <w:szCs w:val="22"/>
              </w:rPr>
              <w:t xml:space="preserve">CREATE</w:t>
            </w:r>
            <w:r>
              <w:rPr>
                <w:rFonts w:ascii="Calibri" w:cs="Calibri" w:eastAsia="Calibri" w:hAnsi="Calibri"/>
                <w:color w:val="52525B"/>
                <w:sz w:val="22"/>
                <w:szCs w:val="22"/>
              </w:rPr>
              <w:t xml:space="preserve"> — understanding how Taylor creates, builds, and executes today. No changes are made. No tools are reconfigured. Only observation, documentation, and analysis.</w:t>
            </w:r>
          </w:p>
        </w:tc>
      </w:tr>
    </w:tbl>
    <w:p>
      <w:r>
        <w:br w:type="page"/>
      </w:r>
    </w:p>
    <w:p>
      <w:pPr>
        <w:pStyle w:val="Heading2"/>
        <w:spacing w:after="150" w:before="300"/>
      </w:pPr>
      <w:r>
        <w:rPr>
          <w:rFonts w:ascii="Georgia" w:cs="Georgia" w:eastAsia="Georgia" w:hAnsi="Georgia"/>
          <w:b/>
          <w:bCs/>
          <w:sz w:val="28"/>
          <w:szCs w:val="28"/>
        </w:rPr>
        <w:t xml:space="preserve">INTAKE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Deliverable</w:t>
            </w:r>
          </w:p>
        </w:tc>
        <w:tc>
          <w:tcPr>
            <w:tcW w:type="dxa" w:w="1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Format</w:t>
            </w:r>
          </w:p>
        </w:tc>
        <w:tc>
          <w:tcPr>
            <w:tcW w:type="dxa" w:w="47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Current-State Assessment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Report (PDF)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Executive summary of findings across all 5 dimensions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Technology Stack Audit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Spreadsheet + Report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Every tool, utilization score, integration status, recommendations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Stakeholder Interview Findings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Report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Synthesized themes, pain points, opportunities by department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Process Maps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Visual diagrams + narrative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Sales-to-Production, Creative-to-Fabrication, Executive Operations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Digital Maturity Scorecard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Interactive dashboard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Five-dimension scores with benchmarks and gap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Transformation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Presentation + Report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Prioritized workstreams, phasing, investment ranges, scoped Discovery proposal</w:t>
            </w:r>
          </w:p>
        </w:tc>
      </w:tr>
    </w:tbl>
    <w:p>
      <w:pPr>
        <w:pStyle w:val="Heading2"/>
        <w:spacing w:after="150" w:before="300"/>
      </w:pPr>
      <w:r>
        <w:rPr>
          <w:rFonts w:ascii="Georgia" w:cs="Georgia" w:eastAsia="Georgia" w:hAnsi="Georgia"/>
          <w:b/>
          <w:bCs/>
          <w:sz w:val="28"/>
          <w:szCs w:val="28"/>
        </w:rPr>
        <w:t xml:space="preserve">What DISCOVERY Adds</w:t>
      </w:r>
    </w:p>
    <w:p>
      <w:pPr>
        <w:spacing w:after="160"/>
      </w:pPr>
      <w:r>
        <w:rPr>
          <w:rFonts w:ascii="Calibri" w:cs="Calibri" w:eastAsia="Calibri" w:hAnsi="Calibri"/>
          <w:color w:val="52525B"/>
          <w:sz w:val="22"/>
          <w:szCs w:val="22"/>
        </w:rPr>
        <w:t xml:space="preserve">DISCOVERY extends the INTAKE with onsite validation in Toronto and tangible quick wins. Taylor doesn’t just get a report — Taylor gets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Deliverable</w:t>
            </w:r>
          </w:p>
        </w:tc>
        <w:tc>
          <w:tcPr>
            <w:tcW w:type="dxa" w:w="18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Format</w:t>
            </w:r>
          </w:p>
        </w:tc>
        <w:tc>
          <w:tcPr>
            <w:tcW w:type="dxa" w:w="47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Validated Process Maps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Updated diagrams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INTAKE maps refined with onsite shadowing — observed reality vs. interview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Quick-Win Automations (×3–5)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Live in production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ClickUp/M365 automations targeting highest-friction points, with documentation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AI Readiness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Report + Pilot Plan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ClickUp Brain activation strategy, M365 Copilot assessment, pilot design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Champion Playbook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Guide + Materials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2–3 champions per division identified, training framework, program kickoff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Executive Workshop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Half-day session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Findings, roadmap, and change management framework with leadership team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Implementation Proposal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Presentation + Report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Scoped next phase with timelines, resources, costs, and KPIs</w:t>
            </w:r>
          </w:p>
        </w:tc>
      </w:tr>
    </w:tbl>
    <w:p>
      <w:r>
        <w:br w:type="page"/>
      </w:r>
    </w:p>
    <w:p>
      <w:pPr>
        <w:pStyle w:val="Heading2"/>
        <w:spacing w:after="150" w:before="300"/>
      </w:pPr>
      <w:r>
        <w:rPr>
          <w:rFonts w:ascii="Georgia" w:cs="Georgia" w:eastAsia="Georgia" w:hAnsi="Georgia"/>
          <w:b/>
          <w:bCs/>
          <w:sz w:val="28"/>
          <w:szCs w:val="28"/>
        </w:rPr>
        <w:t xml:space="preserve">Your Investment</w:t>
      </w:r>
    </w:p>
    <w:p>
      <w:pPr>
        <w:spacing w:after="160"/>
      </w:pPr>
      <w:r>
        <w:rPr>
          <w:rFonts w:ascii="Calibri" w:cs="Calibri" w:eastAsia="Calibri" w:hAnsi="Calibri"/>
          <w:color w:val="52525B"/>
          <w:sz w:val="22"/>
          <w:szCs w:val="22"/>
        </w:rPr>
        <w:t xml:space="preserve">Two paths forward. The INTAKE stands alone as a complete diagnostic. Or combine it with DISCOVERY to validate findings onsite and leave with automations already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3"/>
              <w:left w:val="single" w:color="CCCCCC" w:sz="1"/>
              <w:bottom w:val="single" w:color="CCCCCC" w:sz="1"/>
              <w:right w:val="single" w:color="CCCCCC" w:sz="1"/>
            </w:tcBorders>
            <w:shd w:fill="FFFFFF" w:val="clear"/>
            <w:tcMar>
              <w:top w:type="dxa" w:w="200"/>
              <w:left w:type="dxa" w:w="240"/>
              <w:bottom w:type="dxa" w:w="200"/>
              <w:right w:type="dxa" w:w="240"/>
            </w:tcMar>
          </w:tcPr>
          <w:p>
            <w:pPr>
              <w:spacing w:after="120"/>
            </w:pPr>
            <w:r>
              <w:rPr>
                <w:rFonts w:ascii="Georgia" w:cs="Georgia" w:eastAsia="Georgia" w:hAnsi="Georgia"/>
                <w:b/>
                <w:bCs/>
                <w:sz w:val="28"/>
                <w:szCs w:val="28"/>
              </w:rPr>
              <w:t xml:space="preserve">INTAKE</w:t>
            </w:r>
          </w:p>
          <w:p>
            <w:pPr>
              <w:spacing w:after="40"/>
            </w:pPr>
            <w:r>
              <w:rPr>
                <w:rFonts w:ascii="Consolas" w:cs="Consolas" w:eastAsia="Consolas" w:hAnsi="Consolas"/>
                <w:b/>
                <w:bCs/>
                <w:color w:val="52525B"/>
                <w:sz w:val="16"/>
                <w:szCs w:val="16"/>
              </w:rPr>
              <w:t xml:space="preserve">WHAT YOU GET: </w:t>
            </w:r>
            <w:r>
              <w:rPr>
                <w:rFonts w:ascii="Calibri" w:cs="Calibri" w:eastAsia="Calibri" w:hAnsi="Calibri"/>
                <w:color w:val="18181B"/>
                <w:sz w:val="20"/>
                <w:szCs w:val="20"/>
              </w:rPr>
              <w:t xml:space="preserve">Complete remote assessment: 8–12 stakeholder interviews, technology audit, 3 process maps, 5-dimension maturity scorecard, transformation roadmap</w:t>
            </w:r>
          </w:p>
          <w:p>
            <w:pPr>
              <w:spacing w:after="40"/>
            </w:pPr>
            <w:r>
              <w:rPr>
                <w:rFonts w:ascii="Consolas" w:cs="Consolas" w:eastAsia="Consolas" w:hAnsi="Consolas"/>
                <w:b/>
                <w:bCs/>
                <w:color w:val="52525B"/>
                <w:sz w:val="16"/>
                <w:szCs w:val="16"/>
              </w:rPr>
              <w:t xml:space="preserve">DELIVERABLES: </w:t>
            </w:r>
            <w:r>
              <w:rPr>
                <w:rFonts w:ascii="Calibri" w:cs="Calibri" w:eastAsia="Calibri" w:hAnsi="Calibri"/>
                <w:color w:val="18181B"/>
                <w:sz w:val="20"/>
                <w:szCs w:val="20"/>
              </w:rPr>
              <w:t xml:space="preserve">6 (see table above)</w:t>
            </w:r>
          </w:p>
          <w:p>
            <w:pPr>
              <w:spacing w:after="40"/>
            </w:pPr>
            <w:r>
              <w:rPr>
                <w:rFonts w:ascii="Consolas" w:cs="Consolas" w:eastAsia="Consolas" w:hAnsi="Consolas"/>
                <w:b/>
                <w:bCs/>
                <w:color w:val="52525B"/>
                <w:sz w:val="16"/>
                <w:szCs w:val="16"/>
              </w:rPr>
              <w:t xml:space="preserve">DURATION: </w:t>
            </w:r>
            <w:r>
              <w:rPr>
                <w:rFonts w:ascii="Calibri" w:cs="Calibri" w:eastAsia="Calibri" w:hAnsi="Calibri"/>
                <w:color w:val="18181B"/>
                <w:sz w:val="20"/>
                <w:szCs w:val="20"/>
              </w:rPr>
              <w:t xml:space="preserve">2 months</w:t>
            </w:r>
          </w:p>
          <w:p>
            <w:pPr>
              <w:spacing w:after="40"/>
            </w:pPr>
            <w:r>
              <w:rPr>
                <w:rFonts w:ascii="Consolas" w:cs="Consolas" w:eastAsia="Consolas" w:hAnsi="Consolas"/>
                <w:b/>
                <w:bCs/>
                <w:color w:val="52525B"/>
                <w:sz w:val="16"/>
                <w:szCs w:val="16"/>
              </w:rPr>
              <w:t xml:space="preserve">FORMAT: </w:t>
            </w:r>
            <w:r>
              <w:rPr>
                <w:rFonts w:ascii="Calibri" w:cs="Calibri" w:eastAsia="Calibri" w:hAnsi="Calibri"/>
                <w:color w:val="18181B"/>
                <w:sz w:val="20"/>
                <w:szCs w:val="20"/>
              </w:rPr>
              <w:t xml:space="preserve">Fully remote</w:t>
            </w:r>
          </w:p>
          <w:p>
            <w:pPr>
              <w:spacing w:after="40" w:before="160"/>
            </w:pPr>
            <w:r>
              <w:rPr>
                <w:rFonts w:ascii="Consolas" w:cs="Consolas" w:eastAsia="Consolas" w:hAnsi="Consolas"/>
                <w:b/>
                <w:bCs/>
                <w:color w:val="7A7AE6"/>
                <w:sz w:val="36"/>
                <w:szCs w:val="36"/>
              </w:rPr>
              <w:t xml:space="preserve">$18,000</w:t>
            </w:r>
          </w:p>
          <w:p>
            <w:pPr>
              <w:spacing w:after="60"/>
            </w:pPr>
            <w:r>
              <w:rPr>
                <w:rFonts w:ascii="Consolas" w:cs="Consolas" w:eastAsia="Consolas" w:hAnsi="Consolas"/>
                <w:color w:val="52525B"/>
                <w:sz w:val="16"/>
                <w:szCs w:val="16"/>
              </w:rPr>
              <w:t xml:space="preserve">50% kickoff · 50% delivery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E6" w:sz="3"/>
              <w:left w:val="single" w:color="CCCCCC" w:sz="1"/>
              <w:bottom w:val="single" w:color="CCCCCC" w:sz="1"/>
              <w:right w:val="single" w:color="CCCCCC" w:sz="1"/>
            </w:tcBorders>
            <w:shd w:fill="EDEDFC" w:val="clear"/>
            <w:tcMar>
              <w:top w:type="dxa" w:w="200"/>
              <w:left w:type="dxa" w:w="240"/>
              <w:bottom w:type="dxa" w:w="200"/>
              <w:right w:type="dxa" w:w="240"/>
            </w:tcMar>
          </w:tcPr>
          <w:p>
            <w:pPr>
              <w:spacing w:after="40"/>
            </w:pPr>
            <w:r>
              <w:rPr>
                <w:rFonts w:ascii="Consolas" w:cs="Consolas" w:eastAsia="Consolas" w:hAnsi="Consolas"/>
                <w:b/>
                <w:bCs/>
                <w:color w:val="7A7AE6"/>
                <w:sz w:val="16"/>
                <w:szCs w:val="16"/>
              </w:rPr>
              <w:t xml:space="preserve">★ RECOMMENDED</w:t>
            </w:r>
          </w:p>
          <w:p>
            <w:pPr>
              <w:spacing w:after="120"/>
            </w:pPr>
            <w:r>
              <w:rPr>
                <w:rFonts w:ascii="Georgia" w:cs="Georgia" w:eastAsia="Georgia" w:hAnsi="Georgia"/>
                <w:b/>
                <w:bCs/>
                <w:sz w:val="28"/>
                <w:szCs w:val="28"/>
              </w:rPr>
              <w:t xml:space="preserve">INTAKE + DISCOVERY</w:t>
            </w:r>
          </w:p>
          <w:p>
            <w:pPr>
              <w:spacing w:after="40"/>
            </w:pPr>
            <w:r>
              <w:rPr>
                <w:rFonts w:ascii="Consolas" w:cs="Consolas" w:eastAsia="Consolas" w:hAnsi="Consolas"/>
                <w:b/>
                <w:bCs/>
                <w:color w:val="52525B"/>
                <w:sz w:val="16"/>
                <w:szCs w:val="16"/>
              </w:rPr>
              <w:t xml:space="preserve">WHAT YOU GET: </w:t>
            </w:r>
            <w:r>
              <w:rPr>
                <w:rFonts w:ascii="Calibri" w:cs="Calibri" w:eastAsia="Calibri" w:hAnsi="Calibri"/>
                <w:color w:val="18181B"/>
                <w:sz w:val="20"/>
                <w:szCs w:val="20"/>
              </w:rPr>
              <w:t xml:space="preserve">Everything in INTAKE + onsite Toronto immersion (2 trips), process shadowing &amp; validation, 3–5 quick-win automations, executive workshop, champion program, AI readiness pilot</w:t>
            </w:r>
          </w:p>
          <w:p>
            <w:pPr>
              <w:spacing w:after="40"/>
            </w:pPr>
            <w:r>
              <w:rPr>
                <w:rFonts w:ascii="Consolas" w:cs="Consolas" w:eastAsia="Consolas" w:hAnsi="Consolas"/>
                <w:b/>
                <w:bCs/>
                <w:color w:val="52525B"/>
                <w:sz w:val="16"/>
                <w:szCs w:val="16"/>
              </w:rPr>
              <w:t xml:space="preserve">DELIVERABLES: </w:t>
            </w:r>
            <w:r>
              <w:rPr>
                <w:rFonts w:ascii="Calibri" w:cs="Calibri" w:eastAsia="Calibri" w:hAnsi="Calibri"/>
                <w:color w:val="18181B"/>
                <w:sz w:val="20"/>
                <w:szCs w:val="20"/>
              </w:rPr>
              <w:t xml:space="preserve">12 (INTAKE deliverables + 6 DISCOVERY deliverables)</w:t>
            </w:r>
          </w:p>
          <w:p>
            <w:pPr>
              <w:spacing w:after="40"/>
            </w:pPr>
            <w:r>
              <w:rPr>
                <w:rFonts w:ascii="Consolas" w:cs="Consolas" w:eastAsia="Consolas" w:hAnsi="Consolas"/>
                <w:b/>
                <w:bCs/>
                <w:color w:val="52525B"/>
                <w:sz w:val="16"/>
                <w:szCs w:val="16"/>
              </w:rPr>
              <w:t xml:space="preserve">DURATION: </w:t>
            </w:r>
            <w:r>
              <w:rPr>
                <w:rFonts w:ascii="Calibri" w:cs="Calibri" w:eastAsia="Calibri" w:hAnsi="Calibri"/>
                <w:color w:val="18181B"/>
                <w:sz w:val="20"/>
                <w:szCs w:val="20"/>
              </w:rPr>
              <w:t xml:space="preserve">4 months</w:t>
            </w:r>
          </w:p>
          <w:p>
            <w:pPr>
              <w:spacing w:after="40"/>
            </w:pPr>
            <w:r>
              <w:rPr>
                <w:rFonts w:ascii="Consolas" w:cs="Consolas" w:eastAsia="Consolas" w:hAnsi="Consolas"/>
                <w:b/>
                <w:bCs/>
                <w:color w:val="52525B"/>
                <w:sz w:val="16"/>
                <w:szCs w:val="16"/>
              </w:rPr>
              <w:t xml:space="preserve">FORMAT: </w:t>
            </w:r>
            <w:r>
              <w:rPr>
                <w:rFonts w:ascii="Calibri" w:cs="Calibri" w:eastAsia="Calibri" w:hAnsi="Calibri"/>
                <w:color w:val="18181B"/>
                <w:sz w:val="20"/>
                <w:szCs w:val="20"/>
              </w:rPr>
              <w:t xml:space="preserve">Remote → Onsite + Remote</w:t>
            </w:r>
          </w:p>
          <w:p>
            <w:pPr>
              <w:spacing w:after="40" w:before="160"/>
            </w:pPr>
            <w:r>
              <w:rPr>
                <w:rFonts w:ascii="Consolas" w:cs="Consolas" w:eastAsia="Consolas" w:hAnsi="Consolas"/>
                <w:b/>
                <w:bCs/>
                <w:color w:val="7A7AE6"/>
                <w:sz w:val="36"/>
                <w:szCs w:val="36"/>
              </w:rPr>
              <w:t xml:space="preserve">$42,000</w:t>
            </w:r>
          </w:p>
          <w:p>
            <w:pPr>
              <w:spacing w:after="60"/>
            </w:pPr>
            <w:r>
              <w:rPr>
                <w:rFonts w:ascii="Consolas" w:cs="Consolas" w:eastAsia="Consolas" w:hAnsi="Consolas"/>
                <w:color w:val="52525B"/>
                <w:sz w:val="16"/>
                <w:szCs w:val="16"/>
              </w:rPr>
              <w:t xml:space="preserve">30% kickoff · 25% INTAKE close · 25% Discovery mid · 20% final</w:t>
            </w:r>
          </w:p>
        </w:tc>
      </w:tr>
    </w:tbl>
    <w:p>
      <w:pPr>
        <w:spacing w:after="160"/>
        <w:jc w:val="center"/>
      </w:pPr>
      <w:r>
        <w:rPr>
          <w:rFonts w:ascii="Calibri" w:cs="Calibri" w:eastAsia="Calibri" w:hAnsi="Calibri"/>
          <w:i/>
          <w:iCs/>
          <w:color w:val="52525B"/>
          <w:sz w:val="22"/>
          <w:szCs w:val="22"/>
        </w:rPr>
        <w:t xml:space="preserve">Fixed project fee. Travel billed separately at cost. No obligation to proceed to subsequent phases.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7A7AE6" w:sz="6"/>
              <w:bottom w:val="single" w:color="CCCCCC" w:sz="1"/>
              <w:right w:val="single" w:color="CCCCCC" w:sz="1"/>
            </w:tcBorders>
            <w:shd w:fill="EDEDFC" w:val="clear"/>
            <w:tcMar>
              <w:top w:type="dxa" w:w="120"/>
              <w:left w:type="dxa" w:w="200"/>
              <w:bottom w:type="dxa" w:w="120"/>
              <w:right w:type="dxa" w:w="200"/>
            </w:tcMar>
          </w:tcPr>
          <w:p>
            <w:pPr>
              <w:spacing w:after="160"/>
            </w:pPr>
            <w:r>
              <w:rPr>
                <w:rFonts w:ascii="Calibri" w:cs="Calibri" w:eastAsia="Calibri" w:hAnsi="Calibri"/>
                <w:color w:val="52525B"/>
                <w:sz w:val="22"/>
                <w:szCs w:val="22"/>
              </w:rPr>
              <w:t xml:space="preserve">Against </w:t>
            </w:r>
            <w:r>
              <w:rPr>
                <w:rFonts w:ascii="Calibri" w:cs="Calibri" w:eastAsia="Calibri" w:hAnsi="Calibri"/>
                <w:b/>
                <w:bCs/>
                <w:sz w:val="22"/>
                <w:szCs w:val="22"/>
              </w:rPr>
              <w:t xml:space="preserve">$1.4M–2.85M in annual operational friction</w:t>
            </w:r>
            <w:r>
              <w:rPr>
                <w:rFonts w:ascii="Calibri" w:cs="Calibri" w:eastAsia="Calibri" w:hAnsi="Calibri"/>
                <w:color w:val="52525B"/>
                <w:sz w:val="22"/>
                <w:szCs w:val="22"/>
              </w:rPr>
              <w:t xml:space="preserve"> identified in our initial assessment, the INTAKE at $18,000 represents roughly 1% of the problem cost. The full INTAKE + DISCOVERY at $42,000 delivers not just the diagnosis but working automations and a validated roadmap — at less than 3% of the annual friction.</w:t>
            </w:r>
          </w:p>
        </w:tc>
      </w:tr>
    </w:tbl>
    <w:p>
      <w:pPr>
        <w:spacing w:after="160"/>
      </w:pPr>
      <w:r>
        <w:rPr>
          <w:rFonts w:ascii="Calibri" w:cs="Calibri" w:eastAsia="Calibri" w:hAnsi="Calibri"/>
          <w:i/>
          <w:iCs/>
          <w:color w:val="52525B"/>
          <w:sz w:val="22"/>
          <w:szCs w:val="22"/>
        </w:rPr>
        <w:t xml:space="preserve">“If the assessment confirms the opportunity, we proceed. If not, Taylor walks away with a valuable operational audit at minimal cost.”</w:t>
      </w:r>
    </w:p>
    <w:p>
      <w:pPr>
        <w:pStyle w:val="Heading2"/>
        <w:spacing w:after="150" w:before="300"/>
      </w:pPr>
      <w:r>
        <w:rPr>
          <w:rFonts w:ascii="Georgia" w:cs="Georgia" w:eastAsia="Georgia" w:hAnsi="Georgia"/>
          <w:b/>
          <w:bCs/>
          <w:sz w:val="28"/>
          <w:szCs w:val="28"/>
        </w:rPr>
        <w:t xml:space="preserve">Engagement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Term</w:t>
            </w:r>
          </w:p>
        </w:tc>
        <w:tc>
          <w:tcPr>
            <w:tcW w:type="dxa" w:w="6960"/>
            <w:tcBorders>
              <w:top w:val="single" w:color="CCCCCC" w:sz="1"/>
              <w:left w:val="single" w:color="CCCCCC" w:sz="1"/>
              <w:bottom w:val="single" w:color="CCCCCC" w:sz="1"/>
              <w:right w:val="single" w:color="CCCCCC" w:sz="1"/>
            </w:tcBorders>
            <w:shd w:fill="F4F4F5" w:val="clear"/>
            <w:tcMar>
              <w:top w:type="dxa" w:w="80"/>
              <w:left w:type="dxa" w:w="120"/>
              <w:bottom w:type="dxa" w:w="80"/>
              <w:right w:type="dxa" w:w="120"/>
            </w:tcMar>
          </w:tcPr>
          <w:p>
            <w:r>
              <w:rPr>
                <w:rFonts w:ascii="Calibri" w:cs="Calibri" w:eastAsia="Calibri" w:hAnsi="Calibri"/>
                <w:b/>
                <w:bCs/>
                <w:color w:val="18181B"/>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Confidentiality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Full NDA. Findings shared only with designated Taylor leadership.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Scope Protection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If Discovery reveals scope changes, adjustments proposed before proceeding.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Client Dependencies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Access to systems, stakeholder availability,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Cancellation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Either party, 10 business days written notice.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Travel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Billed at cost, not included in project fee.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No Obligation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8181B"/>
                <w:sz w:val="20"/>
                <w:szCs w:val="20"/>
              </w:rPr>
              <w:t xml:space="preserve">INTAKE stands alone — no commitment to subsequent phases.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7AE6" w:sz="2"/>
              <w:left w:val="single" w:color="CCCCCC" w:sz="1"/>
              <w:bottom w:val="single" w:color="CCCCCC" w:sz="1"/>
              <w:right w:val="single" w:color="CCCCCC" w:sz="1"/>
            </w:tcBorders>
            <w:tcMar>
              <w:top w:type="dxa" w:w="240"/>
              <w:left w:type="dxa" w:w="240"/>
              <w:bottom w:type="dxa" w:w="240"/>
              <w:right w:type="dxa" w:w="240"/>
            </w:tcMar>
          </w:tcPr>
          <w:p>
            <w:pPr>
              <w:spacing w:after="80"/>
              <w:jc w:val="center"/>
            </w:pPr>
            <w:r>
              <w:rPr>
                <w:rFonts w:ascii="Georgia" w:cs="Georgia" w:eastAsia="Georgia" w:hAnsi="Georgia"/>
                <w:b/>
                <w:bCs/>
                <w:color w:val="7A7AE6"/>
                <w:sz w:val="32"/>
                <w:szCs w:val="32"/>
              </w:rPr>
              <w:t xml:space="preserve">Let’s Begin — April 2026</w:t>
            </w:r>
          </w:p>
          <w:p>
            <w:pPr>
              <w:jc w:val="center"/>
            </w:pPr>
            <w:r>
              <w:rPr>
                <w:rFonts w:ascii="Calibri" w:cs="Calibri" w:eastAsia="Calibri" w:hAnsi="Calibri"/>
                <w:color w:val="52525B"/>
                <w:sz w:val="22"/>
                <w:szCs w:val="22"/>
              </w:rPr>
              <w:t xml:space="preserve">The first step is a 30-minute scoping call to align on priorities, confirm stakeholder access, and schedule the kickoff. No preparation needed — we come to you.</w:t>
            </w:r>
          </w:p>
        </w:tc>
      </w:tr>
    </w:tbl>
    <w:p>
      <w:pPr>
        <w:spacing w:before="300"/>
      </w:pPr>
    </w:p>
    <w:p>
      <w:pPr>
        <w:jc w:val="center"/>
      </w:pPr>
      <w:r>
        <w:rPr>
          <w:rFonts w:ascii="Consolas" w:cs="Consolas" w:eastAsia="Consolas" w:hAnsi="Consolas"/>
          <w:color w:val="A1A1AA"/>
          <w:sz w:val="16"/>
          <w:szCs w:val="16"/>
        </w:rPr>
        <w:t xml:space="preserve">TransformAZ — March 2026 — Prepared exclusively for Taylor Group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A1A1AA"/>
        <w:sz w:val="14"/>
        <w:szCs w:val="14"/>
      </w:rPr>
      <w:t xml:space="preserve">CONFIDENTIAL — Page </w:t>
    </w:r>
    <w:r>
      <w:rPr>
        <w:rFonts w:ascii="Consolas" w:cs="Consolas" w:eastAsia="Consolas" w:hAnsi="Consolas"/>
        <w:color w:val="A1A1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A1A1AA"/>
        <w:sz w:val="14"/>
        <w:szCs w:val="14"/>
      </w:rPr>
      <w:t xml:space="preserve">TransformAZ — Building the Digital Backbone — Taylor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8181B"/>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8181B"/>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1818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2026-03-19T13:08:22.685Z</dcterms:created>
  <dcterms:modified xsi:type="dcterms:W3CDTF">2026-03-19T13:08:22.687Z</dcterms:modified>
</cp:coreProperties>
</file>

<file path=docProps/custom.xml><?xml version="1.0" encoding="utf-8"?>
<Properties xmlns="http://schemas.openxmlformats.org/officeDocument/2006/custom-properties" xmlns:vt="http://schemas.openxmlformats.org/officeDocument/2006/docPropsVTypes"/>
</file>