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left"/>
      </w:pPr>
      <w:r>
        <w:rPr>
          <w:rFonts w:ascii="Source Serif 4" w:cs="Source Serif 4" w:eastAsia="Source Serif 4" w:hAnsi="Source Serif 4"/>
          <w:b/>
          <w:bCs/>
          <w:color w:val="7A7AE6"/>
          <w:sz w:val="44"/>
          <w:szCs w:val="44"/>
        </w:rPr>
        <w:t xml:space="preserve">TRANSFORMAZ</w:t>
      </w:r>
    </w:p>
    <w:p>
      <w:pPr>
        <w:pBdr>
          <w:bottom w:val="single" w:color="7A7AE6" w:sz="6" w:space="8"/>
        </w:pBdr>
        <w:spacing w:after="40"/>
      </w:pPr>
      <w:r>
        <w:rPr>
          <w:rFonts w:ascii="Source Serif 4" w:cs="Source Serif 4" w:eastAsia="Source Serif 4" w:hAnsi="Source Serif 4"/>
          <w:color w:val="1A1A2E"/>
          <w:sz w:val="36"/>
          <w:szCs w:val="36"/>
        </w:rPr>
        <w:t xml:space="preserve">Agenda de Decisión Pre-Taylor Group</w:t>
      </w:r>
    </w:p>
    <w:p>
      <w:pPr>
        <w:spacing w:after="20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Reunión Fermín + Agustín</w:t>
      </w:r>
    </w:p>
    <w:p>
      <w:pPr>
        <w:spacing w:after="10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Deadline: 27 de marzo de 2026 (presentación a Taylor Group)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Documento generado por /plan-ceo-review</w:t>
      </w:r>
    </w:p>
    <w:p>
      <w:pPr>
        <w:spacing w:after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D6D6" w:sz="1"/>
              <w:left w:val="single" w:color="C0392B" w:sz="12"/>
              <w:bottom w:val="single" w:color="E0D6D6" w:sz="1"/>
              <w:right w:val="single" w:color="E0D6D6" w:sz="1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CONTEXTO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Taylor Group ($85M revenue, 321 personas, 40+ países) dio verbal go. Presentamos en 4 días. Tenemos la mejor propuesta del mercado pero cero infraestructura operativa detrás. Esta reunión define las decisiones que no pueden esperar.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E0D6D6" w:sz="1" w:space="4"/>
        </w:pBdr>
        <w:spacing w:after="120" w:before="300"/>
      </w:pPr>
      <w:r>
        <w:rPr>
          <w:rFonts w:ascii="Source Serif 4" w:cs="Source Serif 4" w:eastAsia="Source Serif 4" w:hAnsi="Source Serif 4"/>
          <w:b/>
          <w:bCs/>
          <w:color w:val="C0392B"/>
          <w:sz w:val="26"/>
          <w:szCs w:val="26"/>
        </w:rPr>
        <w:t xml:space="preserve">1. ENTIDAD LEGAL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PRIORIDAD: </w:t>
      </w:r>
      <w:r>
        <w:rPr>
          <w:rFonts w:ascii="Calibri" w:cs="Calibri" w:eastAsia="Calibri" w:hAnsi="Calibri"/>
          <w:sz w:val="20"/>
          <w:szCs w:val="20"/>
        </w:rPr>
        <w:t xml:space="preserve">BLOQUEANTE — sin esto no hay contrato</w:t>
      </w:r>
    </w:p>
    <w:p>
      <w:pPr>
        <w:spacing w:after="4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Preguntas para definir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¿TransformAZ tiene entidad registrada?</w:t>
      </w:r>
      <w:r>
        <w:rPr>
          <w:rFonts w:ascii="Calibri" w:cs="Calibri" w:eastAsia="Calibri" w:hAnsi="Calibri"/>
          <w:sz w:val="20"/>
          <w:szCs w:val="20"/>
        </w:rPr>
        <w:t xml:space="preserve"> (LLC, SAS, autónomo, sociedad)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¿En qué jurisdicción?</w:t>
      </w:r>
      <w:r>
        <w:rPr>
          <w:rFonts w:ascii="Calibri" w:cs="Calibri" w:eastAsia="Calibri" w:hAnsi="Calibri"/>
          <w:sz w:val="20"/>
          <w:szCs w:val="20"/>
        </w:rPr>
        <w:t xml:space="preserve"> España (donde vive Fermín), USA (Delaware), Argentina, otra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¿Quién firma el MSA con Taylor Group?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¿Hay cuenta bancaria que pueda recibir USD?</w:t>
      </w:r>
    </w:p>
    <w:p>
      <w:pPr>
        <w:spacing w:after="6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Por qué importa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Taylor Group es una empresa de $85M con equipo legal propio. Van a pedir que el contrato sea con una entidad, no con una persona física.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Sin entidad = sin liability cap. Si algo sale mal, la responsabilidad es personal e ilimitada.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La jurisdicción del contrato determina la ley aplicable en caso de disputas.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D6D6" w:sz="1"/>
              <w:left w:val="single" w:color="7A7AE6" w:sz="12"/>
              <w:bottom w:val="single" w:color="E0D6D6" w:sz="1"/>
              <w:right w:val="single" w:color="E0D6D6" w:sz="1"/>
            </w:tcBorders>
            <w:shd w:fill="F5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A7AE6"/>
                <w:sz w:val="20"/>
                <w:szCs w:val="20"/>
              </w:rPr>
              <w:t xml:space="preserve">RECOMENDACIÓN: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Registrar entidad antes de firmar (o usar la de Fermín como autónomo en España como puente temporal).</w:t>
            </w:r>
          </w:p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Una LLC en Delaware cuesta ~$300 y se abre en 24-48hs online. Es la opción más rápida y aceptada internacionalmente. Si ya existe entidad de Fermín en España, puede servir como puente mientras se formaliza una estructura definitiva. Lo clave: que Taylor firme con una entidad, no con personas.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E0D6D6" w:sz="1" w:space="4"/>
        </w:pBdr>
        <w:spacing w:after="120" w:before="300"/>
      </w:pPr>
      <w:r>
        <w:rPr>
          <w:rFonts w:ascii="Source Serif 4" w:cs="Source Serif 4" w:eastAsia="Source Serif 4" w:hAnsi="Source Serif 4"/>
          <w:b/>
          <w:bCs/>
          <w:color w:val="C0392B"/>
          <w:sz w:val="26"/>
          <w:szCs w:val="26"/>
        </w:rPr>
        <w:t xml:space="preserve">2. ABOGADO Y CONTRATOS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PRIORIDAD: </w:t>
      </w:r>
      <w:r>
        <w:rPr>
          <w:rFonts w:ascii="Calibri" w:cs="Calibri" w:eastAsia="Calibri" w:hAnsi="Calibri"/>
          <w:sz w:val="20"/>
          <w:szCs w:val="20"/>
        </w:rPr>
        <w:t xml:space="preserve">CRITICAL PATH — lead time de 1-2 semanas</w:t>
      </w:r>
    </w:p>
    <w:p>
      <w:pPr>
        <w:spacing w:after="4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Preguntas para definir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¿Fermín tiene abogado de confianza?</w:t>
      </w:r>
      <w:r>
        <w:rPr>
          <w:rFonts w:ascii="Calibri" w:cs="Calibri" w:eastAsia="Calibri" w:hAnsi="Calibri"/>
          <w:sz w:val="20"/>
          <w:szCs w:val="20"/>
        </w:rPr>
        <w:t xml:space="preserve"> (comercial/mercantil, no necesariamente tech)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¿Taylor va a mandar su propio contrato o aceptan el nuestro?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¿Presupuesto para abogado?</w:t>
      </w:r>
      <w:r>
        <w:rPr>
          <w:rFonts w:ascii="Calibri" w:cs="Calibri" w:eastAsia="Calibri" w:hAnsi="Calibri"/>
          <w:sz w:val="20"/>
          <w:szCs w:val="20"/>
        </w:rPr>
        <w:t xml:space="preserve"> Estimación: $500-$2,000 USD por MSA+SOW+NDA</w:t>
      </w:r>
    </w:p>
    <w:p>
      <w:pPr>
        <w:spacing w:after="6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Documentos necesarios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26"/>
        <w:gridCol w:w="2000"/>
      </w:tblGrid>
      <w:tr>
        <w:tc>
          <w:tcPr>
            <w:tcW w:type="dxa" w:w="25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7A7A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DOCUMENTO</w:t>
            </w:r>
          </w:p>
        </w:tc>
        <w:tc>
          <w:tcPr>
            <w:tcW w:type="dxa" w:w="4526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7A7A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  <w:tc>
          <w:tcPr>
            <w:tcW w:type="dxa" w:w="20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7A7A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</w:tr>
      <w:tr>
        <w:tc>
          <w:tcPr>
            <w:tcW w:type="dxa" w:w="25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MSA</w:t>
            </w:r>
          </w:p>
        </w:tc>
        <w:tc>
          <w:tcPr>
            <w:tcW w:type="dxa" w:w="4526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Relación general: liability cap, IP, confidencialidad, no-solicitation, terminación</w:t>
            </w:r>
          </w:p>
        </w:tc>
        <w:tc>
          <w:tcPr>
            <w:tcW w:type="dxa" w:w="20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Antes de presentar</w:t>
            </w:r>
          </w:p>
        </w:tc>
      </w:tr>
      <w:tr>
        <w:tc>
          <w:tcPr>
            <w:tcW w:type="dxa" w:w="25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SOW — INTAKE</w:t>
            </w:r>
          </w:p>
        </w:tc>
        <w:tc>
          <w:tcPr>
            <w:tcW w:type="dxa" w:w="4526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Específico de INTAKE: 6 deliverables, timeline, pagos, criterios de aceptación, límite de revisiones</w:t>
            </w:r>
          </w:p>
        </w:tc>
        <w:tc>
          <w:tcPr>
            <w:tcW w:type="dxa" w:w="20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 el MSA</w:t>
            </w:r>
          </w:p>
        </w:tc>
      </w:tr>
      <w:tr>
        <w:tc>
          <w:tcPr>
            <w:tcW w:type="dxa" w:w="25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NDA</w:t>
            </w:r>
          </w:p>
        </w:tc>
        <w:tc>
          <w:tcPr>
            <w:tcW w:type="dxa" w:w="4526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Mutual. Protege datos de Taylor y metodología de TransformAZ</w:t>
            </w:r>
          </w:p>
        </w:tc>
        <w:tc>
          <w:tcPr>
            <w:tcW w:type="dxa" w:w="20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Antes de kickoff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Cláusulas críticas que no pueden faltar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Liability cap:</w:t>
      </w:r>
      <w:r>
        <w:rPr>
          <w:rFonts w:ascii="Calibri" w:cs="Calibri" w:eastAsia="Calibri" w:hAnsi="Calibri"/>
          <w:sz w:val="20"/>
          <w:szCs w:val="20"/>
        </w:rPr>
        <w:t xml:space="preserve"> Limitar responsabilidad a 1x los fees pagados. Sin esto, un engagement de $42K genera exposición ilimitada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IP ownership:</w:t>
      </w:r>
      <w:r>
        <w:rPr>
          <w:rFonts w:ascii="Calibri" w:cs="Calibri" w:eastAsia="Calibri" w:hAnsi="Calibri"/>
          <w:sz w:val="20"/>
          <w:szCs w:val="20"/>
        </w:rPr>
        <w:t xml:space="preserve"> TransformAZ retiene la metodología (Digital Backbone). Taylor se queda con los deliverables específicos. Clave para reusar con futuros clientes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Non-solicitation:</w:t>
      </w:r>
      <w:r>
        <w:rPr>
          <w:rFonts w:ascii="Calibri" w:cs="Calibri" w:eastAsia="Calibri" w:hAnsi="Calibri"/>
          <w:sz w:val="20"/>
          <w:szCs w:val="20"/>
        </w:rPr>
        <w:t xml:space="preserve"> 12 meses. Protege contra que Taylor contrate directamente a Fermín o Agustín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Scope protection:</w:t>
      </w:r>
      <w:r>
        <w:rPr>
          <w:rFonts w:ascii="Calibri" w:cs="Calibri" w:eastAsia="Calibri" w:hAnsi="Calibri"/>
          <w:sz w:val="20"/>
          <w:szCs w:val="20"/>
        </w:rPr>
        <w:t xml:space="preserve"> Cambios requieren change order escrito con pricing. Es la defensa principal contra scope creep (riesgo #1 del proyecto)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Payment terms:</w:t>
      </w:r>
      <w:r>
        <w:rPr>
          <w:rFonts w:ascii="Calibri" w:cs="Calibri" w:eastAsia="Calibri" w:hAnsi="Calibri"/>
          <w:sz w:val="20"/>
          <w:szCs w:val="20"/>
        </w:rPr>
        <w:t xml:space="preserve"> Net 15. Trabajo se pausa si pago &gt;30 días de atraso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Revision cap:</w:t>
      </w:r>
      <w:r>
        <w:rPr>
          <w:rFonts w:ascii="Calibri" w:cs="Calibri" w:eastAsia="Calibri" w:hAnsi="Calibri"/>
          <w:sz w:val="20"/>
          <w:szCs w:val="20"/>
        </w:rPr>
        <w:t xml:space="preserve"> 2 rondas de revisiones por deliverable incluidas. Adicionales se facturan aparte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D6D6" w:sz="1"/>
              <w:left w:val="single" w:color="7A7AE6" w:sz="12"/>
              <w:bottom w:val="single" w:color="E0D6D6" w:sz="1"/>
              <w:right w:val="single" w:color="E0D6D6" w:sz="1"/>
            </w:tcBorders>
            <w:shd w:fill="F5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A7AE6"/>
                <w:sz w:val="20"/>
                <w:szCs w:val="20"/>
              </w:rPr>
              <w:t xml:space="preserve">RECOMENDACIÓN: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Contratar abogado esta semana. No esperar a que Taylor mande su contrato.</w:t>
            </w:r>
          </w:p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Si Taylor manda su propio contrato primero, negociamos desde su terreno. Si mandamos nosotros el MSA, establecemos los términos base. La inversión de $1-2K en abogado es el mejor ROI pre-engagement: protege contra $42K+ de exposición.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E0D6D6" w:sz="1" w:space="4"/>
        </w:pBdr>
        <w:spacing w:after="120" w:before="300"/>
      </w:pPr>
      <w:r>
        <w:rPr>
          <w:rFonts w:ascii="Source Serif 4" w:cs="Source Serif 4" w:eastAsia="Source Serif 4" w:hAnsi="Source Serif 4"/>
          <w:b/>
          <w:bCs/>
          <w:color w:val="C0392B"/>
          <w:sz w:val="26"/>
          <w:szCs w:val="26"/>
        </w:rPr>
        <w:t xml:space="preserve">3. PRICING — ¿Estamos cómodos?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PRIORIDAD: </w:t>
      </w:r>
      <w:r>
        <w:rPr>
          <w:rFonts w:ascii="Calibri" w:cs="Calibri" w:eastAsia="Calibri" w:hAnsi="Calibri"/>
          <w:sz w:val="20"/>
          <w:szCs w:val="20"/>
        </w:rPr>
        <w:t xml:space="preserve">Definir antes de la presentación</w:t>
      </w:r>
    </w:p>
    <w:p>
      <w:pPr>
        <w:spacing w:after="4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Realidad financiera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1726"/>
      </w:tblGrid>
      <w:tr>
        <w:tc>
          <w:tcPr>
            <w:tcW w:type="dxa" w:w="22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7A7A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17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7A7A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17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7A7A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COSTOS</w:t>
            </w:r>
          </w:p>
        </w:tc>
        <w:tc>
          <w:tcPr>
            <w:tcW w:type="dxa" w:w="17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7A7A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MARGEN CASH</w:t>
            </w:r>
          </w:p>
        </w:tc>
        <w:tc>
          <w:tcPr>
            <w:tcW w:type="dxa" w:w="1726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7A7A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RATE EFECTIVO</w:t>
            </w:r>
          </w:p>
        </w:tc>
      </w:tr>
      <w:tr>
        <w:tc>
          <w:tcPr>
            <w:tcW w:type="dxa" w:w="22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INTAKE only</w:t>
            </w:r>
          </w:p>
        </w:tc>
        <w:tc>
          <w:tcPr>
            <w:tcW w:type="dxa" w:w="17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$18,000</w:t>
            </w:r>
          </w:p>
        </w:tc>
        <w:tc>
          <w:tcPr>
            <w:tcW w:type="dxa" w:w="17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~$2,000</w:t>
            </w:r>
          </w:p>
        </w:tc>
        <w:tc>
          <w:tcPr>
            <w:tcW w:type="dxa" w:w="17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$16,000 (89%)</w:t>
            </w:r>
          </w:p>
        </w:tc>
        <w:tc>
          <w:tcPr>
            <w:tcW w:type="dxa" w:w="1726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$106/hr</w:t>
            </w:r>
          </w:p>
        </w:tc>
      </w:tr>
      <w:tr>
        <w:tc>
          <w:tcPr>
            <w:tcW w:type="dxa" w:w="22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INTAKE + DISCOVERY</w:t>
            </w:r>
          </w:p>
        </w:tc>
        <w:tc>
          <w:tcPr>
            <w:tcW w:type="dxa" w:w="17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$42,000</w:t>
            </w:r>
          </w:p>
        </w:tc>
        <w:tc>
          <w:tcPr>
            <w:tcW w:type="dxa" w:w="17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~$6,000</w:t>
            </w:r>
          </w:p>
        </w:tc>
        <w:tc>
          <w:tcPr>
            <w:tcW w:type="dxa" w:w="17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$36,000 (86%)</w:t>
            </w:r>
          </w:p>
        </w:tc>
        <w:tc>
          <w:tcPr>
            <w:tcW w:type="dxa" w:w="1726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$124/hr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⚠️ Nota importante:</w:t>
      </w:r>
      <w:r>
        <w:rPr>
          <w:rFonts w:ascii="Calibri" w:cs="Calibri" w:eastAsia="Calibri" w:hAnsi="Calibri"/>
          <w:sz w:val="19"/>
          <w:szCs w:val="19"/>
        </w:rPr>
        <w:t xml:space="preserve"> Si contamos el costo de oportunidad del tiempo de ambos (~$125/hr blended), INTAKE es -18% y INTAKE+DISCOVERY es breakeven.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Esto es aceptable para cliente #1</w:t>
      </w:r>
      <w:r>
        <w:rPr>
          <w:rFonts w:ascii="Calibri" w:cs="Calibri" w:eastAsia="Calibri" w:hAnsi="Calibri"/>
          <w:sz w:val="19"/>
          <w:szCs w:val="19"/>
        </w:rPr>
        <w:t xml:space="preserve"> (track record, caso de estudio, validar metodología). No es sostenible para cliente #2.</w:t>
      </w:r>
    </w:p>
    <w:p>
      <w:pPr>
        <w:spacing w:after="6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Pregunta para Fermín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¿Aceptamos estos márgenes como inversión en el primer cliente?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¿O queremos renegociar antes de firmar?</w:t>
      </w:r>
      <w:r>
        <w:rPr>
          <w:rFonts w:ascii="Calibri" w:cs="Calibri" w:eastAsia="Calibri" w:hAnsi="Calibri"/>
          <w:sz w:val="20"/>
          <w:szCs w:val="20"/>
        </w:rPr>
        <w:t xml:space="preserve"> Para ser rentables, INTAKE debería ser $24-28K y INTAKE+DISCOVERY $55-65K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Travel budget:</w:t>
      </w:r>
      <w:r>
        <w:rPr>
          <w:rFonts w:ascii="Calibri" w:cs="Calibri" w:eastAsia="Calibri" w:hAnsi="Calibri"/>
          <w:sz w:val="20"/>
          <w:szCs w:val="20"/>
        </w:rPr>
        <w:t xml:space="preserve"> Fermín Madrid→Toronto ~$1,200. Agus Sydney→Toronto ~$3,500. ¿Viajamos los dos a Toronto en DISCOVERY o solo Fermín?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D6D6" w:sz="1"/>
              <w:left w:val="single" w:color="7A7AE6" w:sz="12"/>
              <w:bottom w:val="single" w:color="E0D6D6" w:sz="1"/>
              <w:right w:val="single" w:color="E0D6D6" w:sz="1"/>
            </w:tcBorders>
            <w:shd w:fill="F5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A7AE6"/>
                <w:sz w:val="20"/>
                <w:szCs w:val="20"/>
              </w:rPr>
              <w:t xml:space="preserve">RECOMENDACIÓN: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Mantener pricing actual ($18K / $42K) para cliente #1. Ajustar +35% para cliente #2.</w:t>
            </w:r>
          </w:p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Taylor ya vio estos números en la propuesta. Cambiar ahora genera fricción y desconfianza. El valor real de este engagement no es el margen — es el caso de estudio, la validación de la metodología, y la referencia de una empresa de $85M. Eso vale mucho más que $3K de margen perdido.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E0D6D6" w:sz="1" w:space="4"/>
        </w:pBdr>
        <w:spacing w:after="120" w:before="300"/>
      </w:pPr>
      <w:r>
        <w:rPr>
          <w:rFonts w:ascii="Source Serif 4" w:cs="Source Serif 4" w:eastAsia="Source Serif 4" w:hAnsi="Source Serif 4"/>
          <w:b/>
          <w:bCs/>
          <w:color w:val="C0392B"/>
          <w:sz w:val="26"/>
          <w:szCs w:val="26"/>
        </w:rPr>
        <w:t xml:space="preserve">4. ROLES Y DIVISIÓN DE TRABAJO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PRIORIDAD: </w:t>
      </w:r>
      <w:r>
        <w:rPr>
          <w:rFonts w:ascii="Calibri" w:cs="Calibri" w:eastAsia="Calibri" w:hAnsi="Calibri"/>
          <w:sz w:val="20"/>
          <w:szCs w:val="20"/>
        </w:rPr>
        <w:t xml:space="preserve">Confirmar antes de la presentación</w:t>
      </w:r>
    </w:p>
    <w:p>
      <w:pPr>
        <w:spacing w:after="4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Modelo propuesto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426"/>
        <w:gridCol w:w="2000"/>
      </w:tblGrid>
      <w:tr>
        <w:tc>
          <w:tcPr>
            <w:tcW w:type="dxa" w:w="18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7A7A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18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7A7A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QUIÉN</w:t>
            </w:r>
          </w:p>
        </w:tc>
        <w:tc>
          <w:tcPr>
            <w:tcW w:type="dxa" w:w="3426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7A7A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RESPONSABILIDADES</w:t>
            </w:r>
          </w:p>
        </w:tc>
        <w:tc>
          <w:tcPr>
            <w:tcW w:type="dxa" w:w="20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7A7A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TIMEZONE</w:t>
            </w:r>
          </w:p>
        </w:tc>
      </w:tr>
      <w:tr>
        <w:tc>
          <w:tcPr>
            <w:tcW w:type="dxa" w:w="18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Lead Consultant</w:t>
            </w:r>
          </w:p>
        </w:tc>
        <w:tc>
          <w:tcPr>
            <w:tcW w:type="dxa" w:w="18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Fermín</w:t>
            </w:r>
          </w:p>
        </w:tc>
        <w:tc>
          <w:tcPr>
            <w:tcW w:type="dxa" w:w="3426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Cliente, entrevistas stakeholders, estrategia, ventas, workshop ejecutivo</w:t>
            </w:r>
          </w:p>
        </w:tc>
        <w:tc>
          <w:tcPr>
            <w:tcW w:type="dxa" w:w="20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Madrid (CEST) — 6hrs overlap Toronto</w:t>
            </w:r>
          </w:p>
        </w:tc>
      </w:tr>
      <w:tr>
        <w:tc>
          <w:tcPr>
            <w:tcW w:type="dxa" w:w="18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Operations &amp; Impl.</w:t>
            </w:r>
          </w:p>
        </w:tc>
        <w:tc>
          <w:tcPr>
            <w:tcW w:type="dxa" w:w="18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Agustín</w:t>
            </w:r>
          </w:p>
        </w:tc>
        <w:tc>
          <w:tcPr>
            <w:tcW w:type="dxa" w:w="3426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 audit, process mapping, data analysis, producción de deliverables, automatizaciones</w:t>
            </w:r>
          </w:p>
        </w:tc>
        <w:tc>
          <w:tcPr>
            <w:tcW w:type="dxa" w:w="20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Sydney (AEST) — 2hrs overlap Toronto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Modelo de comunicación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Fermín ↔ Agustín:</w:t>
      </w:r>
      <w:r>
        <w:rPr>
          <w:rFonts w:ascii="Calibri" w:cs="Calibri" w:eastAsia="Calibri" w:hAnsi="Calibri"/>
          <w:sz w:val="20"/>
          <w:szCs w:val="20"/>
        </w:rPr>
        <w:t xml:space="preserve"> Daily sync 9am Madrid / 5pm Sydney (3 hrs de overlap)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Fermín ↔ Taylor:</w:t>
      </w:r>
      <w:r>
        <w:rPr>
          <w:rFonts w:ascii="Calibri" w:cs="Calibri" w:eastAsia="Calibri" w:hAnsi="Calibri"/>
          <w:sz w:val="20"/>
          <w:szCs w:val="20"/>
        </w:rPr>
        <w:t xml:space="preserve"> Calls en tarde Madrid = mañana Toronto (6 hrs overlap)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Agustín ↔ Taylor:</w:t>
      </w:r>
      <w:r>
        <w:rPr>
          <w:rFonts w:ascii="Calibri" w:cs="Calibri" w:eastAsia="Calibri" w:hAnsi="Calibri"/>
          <w:sz w:val="20"/>
          <w:szCs w:val="20"/>
        </w:rPr>
        <w:t xml:space="preserve"> Limitado (2hrs overlap). Comunicación async vía ClickUp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Workflow:</w:t>
      </w:r>
      <w:r>
        <w:rPr>
          <w:rFonts w:ascii="Calibri" w:cs="Calibri" w:eastAsia="Calibri" w:hAnsi="Calibri"/>
          <w:sz w:val="20"/>
          <w:szCs w:val="20"/>
        </w:rPr>
        <w:t xml:space="preserve"> Async-first. ClickUp updates + Loom recordings reemplazan standups en vivo</w:t>
      </w:r>
    </w:p>
    <w:p>
      <w:pPr>
        <w:spacing w:after="6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Preguntas para Fermín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¿Estás de acuerdo con ser el single point of contact con Taylor?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¿Funciona el daily sync a las 9am Madrid?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¿Hay capacidad para dedicar ~30 hrs/semana al delivery + 10-15 hrs/semana a biz dev en paralelo?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D6D6" w:sz="1"/>
              <w:left w:val="single" w:color="7A7AE6" w:sz="12"/>
              <w:bottom w:val="single" w:color="E0D6D6" w:sz="1"/>
              <w:right w:val="single" w:color="E0D6D6" w:sz="1"/>
            </w:tcBorders>
            <w:shd w:fill="F5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A7AE6"/>
                <w:sz w:val="20"/>
                <w:szCs w:val="20"/>
              </w:rPr>
              <w:t xml:space="preserve">RECOMENDACIÓN: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Fermín lidera la relación con Taylor. Agustín ejecuta async.</w:t>
            </w:r>
          </w:p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Es la única configuración que funciona por timezone. Fermín tiene 6 horas de overlap con Toronto, Agustín solo 2. Forzar que Agustín atienda calls con Taylor significaría horarios de 9-11pm Sydney — insostenible por 4 meses.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E0D6D6" w:sz="1" w:space="4"/>
        </w:pBdr>
        <w:spacing w:after="120" w:before="300"/>
      </w:pPr>
      <w:r>
        <w:rPr>
          <w:rFonts w:ascii="Source Serif 4" w:cs="Source Serif 4" w:eastAsia="Source Serif 4" w:hAnsi="Source Serif 4"/>
          <w:b/>
          <w:bCs/>
          <w:color w:val="C0392B"/>
          <w:sz w:val="26"/>
          <w:szCs w:val="26"/>
        </w:rPr>
        <w:t xml:space="preserve">5. COBRO, IMPUESTOS Y REPARTO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PRIORIDAD: </w:t>
      </w:r>
      <w:r>
        <w:rPr>
          <w:rFonts w:ascii="Calibri" w:cs="Calibri" w:eastAsia="Calibri" w:hAnsi="Calibri"/>
          <w:sz w:val="20"/>
          <w:szCs w:val="20"/>
        </w:rPr>
        <w:t xml:space="preserve">Resolver antes de facturar (semana 1 del engagement)</w:t>
      </w:r>
    </w:p>
    <w:p>
      <w:pPr>
        <w:spacing w:after="4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Preguntas para definir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¿Cómo recibimos USD?</w:t>
      </w:r>
      <w:r>
        <w:rPr>
          <w:rFonts w:ascii="Calibri" w:cs="Calibri" w:eastAsia="Calibri" w:hAnsi="Calibri"/>
          <w:sz w:val="20"/>
          <w:szCs w:val="20"/>
        </w:rPr>
        <w:t xml:space="preserve"> Cuenta bancaria en USD, Wise, Payoneer, cuenta en España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¿Cómo se reparten los ingresos?</w:t>
      </w:r>
      <w:r>
        <w:rPr>
          <w:rFonts w:ascii="Calibri" w:cs="Calibri" w:eastAsia="Calibri" w:hAnsi="Calibri"/>
          <w:sz w:val="20"/>
          <w:szCs w:val="20"/>
        </w:rPr>
        <w:t xml:space="preserve"> 50/50, proporcional a horas, fee fijo para uno y variable para el otro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Impuestos cross-border:</w:t>
      </w:r>
      <w:r>
        <w:rPr>
          <w:rFonts w:ascii="Calibri" w:cs="Calibri" w:eastAsia="Calibri" w:hAnsi="Calibri"/>
          <w:sz w:val="20"/>
          <w:szCs w:val="20"/>
        </w:rPr>
        <w:t xml:space="preserve"> Fermín (España) facturando a Taylor (Canadá/US). ¿Hay retención? ¿Doble imposición?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¿Consultar con contador esta semana?</w:t>
      </w:r>
      <w:r>
        <w:rPr>
          <w:rFonts w:ascii="Calibri" w:cs="Calibri" w:eastAsia="Calibri" w:hAnsi="Calibri"/>
          <w:sz w:val="20"/>
          <w:szCs w:val="20"/>
        </w:rPr>
        <w:t xml:space="preserve"> Costo: ~$300-$500 por la consulta. Evita sorpresas de $3-5K después</w:t>
      </w:r>
    </w:p>
    <w:p>
      <w:pPr>
        <w:spacing w:after="6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Por qué no puede esperar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El primer pago ($9K o $12.6K) llega en el kickoff. Necesitamos saber a qué cuenta, con qué entidad, y qué impuestos aplican ANTES de emitir la factura.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Si la estructura fiscal es ineficiente, puede comerse entre 15-30% del revenue en retenciones evitables.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D6D6" w:sz="1"/>
              <w:left w:val="single" w:color="7A7AE6" w:sz="12"/>
              <w:bottom w:val="single" w:color="E0D6D6" w:sz="1"/>
              <w:right w:val="single" w:color="E0D6D6" w:sz="1"/>
            </w:tcBorders>
            <w:shd w:fill="F5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A7AE6"/>
                <w:sz w:val="20"/>
                <w:szCs w:val="20"/>
              </w:rPr>
              <w:t xml:space="preserve">RECOMENDACIÓN: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Consultar con contador esta semana. Definir estructura de cobro antes del kickoff.</w:t>
            </w:r>
          </w:p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Es una inversión de $300-500 que puede ahorrar miles en retenciones. Wise Business es la opción más rápida para recibir USD desde Canadá con comisiones bajas (~0.5%). Se abre en 24-48hs.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E0D6D6" w:sz="1" w:space="4"/>
        </w:pBdr>
        <w:spacing w:after="120" w:before="300"/>
      </w:pPr>
      <w:r>
        <w:rPr>
          <w:rFonts w:ascii="Source Serif 4" w:cs="Source Serif 4" w:eastAsia="Source Serif 4" w:hAnsi="Source Serif 4"/>
          <w:b/>
          <w:bCs/>
          <w:color w:val="C0392B"/>
          <w:sz w:val="26"/>
          <w:szCs w:val="26"/>
        </w:rPr>
        <w:t xml:space="preserve">6. PRESENTACIÓN A TAYLOR (27 Mar)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PRIORIDAD: </w:t>
      </w:r>
      <w:r>
        <w:rPr>
          <w:rFonts w:ascii="Calibri" w:cs="Calibri" w:eastAsia="Calibri" w:hAnsi="Calibri"/>
          <w:sz w:val="20"/>
          <w:szCs w:val="20"/>
        </w:rPr>
        <w:t xml:space="preserve">Alinear formato, roles y objetivo</w:t>
      </w:r>
    </w:p>
    <w:p>
      <w:pPr>
        <w:spacing w:after="4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Preguntas para definir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¿Qué formato?</w:t>
      </w:r>
      <w:r>
        <w:rPr>
          <w:rFonts w:ascii="Calibri" w:cs="Calibri" w:eastAsia="Calibri" w:hAnsi="Calibri"/>
          <w:sz w:val="20"/>
          <w:szCs w:val="20"/>
        </w:rPr>
        <w:t xml:space="preserve"> Recomendación: screenshare del Interactive Pitch + live demo de Tay (chatbot)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¿Quién presenta qué?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Fermín: lidera la narrativa, presenta el problema ($1.6-2.85M de fricción), la solución (Digital Backbone), los próximos pasos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Agustín: en la call para preguntas técnicas (ClickUp, automations, tech audit)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¿Qué queremos que salga de la reunión?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Objetivo mínimo: verbal “go” + timeline para firmar contrato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Objetivo ideal: “Mandénnos el contrato”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¿Llevamos pricing visible o lo dejamos para después?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¿Pedimos algo a Taylor antes de la call?</w:t>
      </w:r>
      <w:r>
        <w:rPr>
          <w:rFonts w:ascii="Calibri" w:cs="Calibri" w:eastAsia="Calibri" w:hAnsi="Calibri"/>
          <w:sz w:val="20"/>
          <w:szCs w:val="20"/>
        </w:rPr>
        <w:t xml:space="preserve"> (NDA firmado, lista de stakeholders, acceso a ClickUp)</w:t>
      </w:r>
    </w:p>
    <w:p>
      <w:pPr>
        <w:spacing w:after="6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Estructura sugerida de la presentación (45-60 min)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26"/>
        <w:gridCol w:w="2000"/>
      </w:tblGrid>
      <w:tr>
        <w:tc>
          <w:tcPr>
            <w:tcW w:type="dxa" w:w="12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7A7A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TIEMPO</w:t>
            </w:r>
          </w:p>
        </w:tc>
        <w:tc>
          <w:tcPr>
            <w:tcW w:type="dxa" w:w="24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7A7A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BLOQUE</w:t>
            </w:r>
          </w:p>
        </w:tc>
        <w:tc>
          <w:tcPr>
            <w:tcW w:type="dxa" w:w="3426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7A7A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20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7A7A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QUIÉN</w:t>
            </w:r>
          </w:p>
        </w:tc>
      </w:tr>
      <w:tr>
        <w:tc>
          <w:tcPr>
            <w:tcW w:type="dxa" w:w="12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min</w:t>
            </w:r>
          </w:p>
        </w:tc>
        <w:tc>
          <w:tcPr>
            <w:tcW w:type="dxa" w:w="24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Apertura</w:t>
            </w:r>
          </w:p>
        </w:tc>
        <w:tc>
          <w:tcPr>
            <w:tcW w:type="dxa" w:w="3426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Agradecer, contexto, agenda de la reunión</w:t>
            </w:r>
          </w:p>
        </w:tc>
        <w:tc>
          <w:tcPr>
            <w:tcW w:type="dxa" w:w="20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Fermín</w:t>
            </w:r>
          </w:p>
        </w:tc>
      </w:tr>
      <w:tr>
        <w:tc>
          <w:tcPr>
            <w:tcW w:type="dxa" w:w="12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min</w:t>
            </w:r>
          </w:p>
        </w:tc>
        <w:tc>
          <w:tcPr>
            <w:tcW w:type="dxa" w:w="24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 problema</w:t>
            </w:r>
          </w:p>
        </w:tc>
        <w:tc>
          <w:tcPr>
            <w:tcW w:type="dxa" w:w="3426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$1.6-2.85M en fricción operativa. Datos de las entrevistas iniciales. Costo de no hacer nada</w:t>
            </w:r>
          </w:p>
        </w:tc>
        <w:tc>
          <w:tcPr>
            <w:tcW w:type="dxa" w:w="20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Fermín</w:t>
            </w:r>
          </w:p>
        </w:tc>
      </w:tr>
      <w:tr>
        <w:tc>
          <w:tcPr>
            <w:tcW w:type="dxa" w:w="12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min</w:t>
            </w:r>
          </w:p>
        </w:tc>
        <w:tc>
          <w:tcPr>
            <w:tcW w:type="dxa" w:w="24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Digital Backbone</w:t>
            </w:r>
          </w:p>
        </w:tc>
        <w:tc>
          <w:tcPr>
            <w:tcW w:type="dxa" w:w="3426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Create-Build-Execute. Visualización SVG. Cómo conecta lo que ya tienen (ClickUp, M365, Gemini)</w:t>
            </w:r>
          </w:p>
        </w:tc>
        <w:tc>
          <w:tcPr>
            <w:tcW w:type="dxa" w:w="20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Fermín + Agus</w:t>
            </w:r>
          </w:p>
        </w:tc>
      </w:tr>
      <w:tr>
        <w:tc>
          <w:tcPr>
            <w:tcW w:type="dxa" w:w="12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min</w:t>
            </w:r>
          </w:p>
        </w:tc>
        <w:tc>
          <w:tcPr>
            <w:tcW w:type="dxa" w:w="24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Demo Tay</w:t>
            </w:r>
          </w:p>
        </w:tc>
        <w:tc>
          <w:tcPr>
            <w:tcW w:type="dxa" w:w="3426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Live demo del chatbot. Muestra capacidad técnica y personalización</w:t>
            </w:r>
          </w:p>
        </w:tc>
        <w:tc>
          <w:tcPr>
            <w:tcW w:type="dxa" w:w="20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Agus</w:t>
            </w:r>
          </w:p>
        </w:tc>
      </w:tr>
      <w:tr>
        <w:tc>
          <w:tcPr>
            <w:tcW w:type="dxa" w:w="12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min</w:t>
            </w:r>
          </w:p>
        </w:tc>
        <w:tc>
          <w:tcPr>
            <w:tcW w:type="dxa" w:w="24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Próximos pasos</w:t>
            </w:r>
          </w:p>
        </w:tc>
        <w:tc>
          <w:tcPr>
            <w:tcW w:type="dxa" w:w="3426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INTAKE vs INTAKE+DISCOVERY. Timeline. Pricing. Qué necesitamos de Taylor</w:t>
            </w:r>
          </w:p>
        </w:tc>
        <w:tc>
          <w:tcPr>
            <w:tcW w:type="dxa" w:w="20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Fermín</w:t>
            </w:r>
          </w:p>
        </w:tc>
      </w:tr>
      <w:tr>
        <w:tc>
          <w:tcPr>
            <w:tcW w:type="dxa" w:w="12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min</w:t>
            </w:r>
          </w:p>
        </w:tc>
        <w:tc>
          <w:tcPr>
            <w:tcW w:type="dxa" w:w="24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Q&amp;A</w:t>
            </w:r>
          </w:p>
        </w:tc>
        <w:tc>
          <w:tcPr>
            <w:tcW w:type="dxa" w:w="3426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Preguntas abiertas. Escuchar preocupaciones. Confirmar next steps</w:t>
            </w:r>
          </w:p>
        </w:tc>
        <w:tc>
          <w:tcPr>
            <w:tcW w:type="dxa" w:w="20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Ambos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D6D6" w:sz="1"/>
              <w:left w:val="single" w:color="7A7AE6" w:sz="12"/>
              <w:bottom w:val="single" w:color="E0D6D6" w:sz="1"/>
              <w:right w:val="single" w:color="E0D6D6" w:sz="1"/>
            </w:tcBorders>
            <w:shd w:fill="F5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A7AE6"/>
                <w:sz w:val="20"/>
                <w:szCs w:val="20"/>
              </w:rPr>
              <w:t xml:space="preserve">RECOMENDACIÓN: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Mostrar pricing en la presentación. No esconderlo.</w:t>
            </w:r>
          </w:p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Taylor ya vio los números en la propuesta escrita (si la recibieron). Esconder el pricing genera desconfianza. Mostrarlo con confianza, enmarcado en el ROI ($18K = 1% del problema de $1.6M), es la mejor postura. La transparencia cierra deals más rápido que la ambigüedad.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E0D6D6" w:sz="1" w:space="4"/>
        </w:pBdr>
        <w:spacing w:after="120" w:before="300"/>
      </w:pPr>
      <w:r>
        <w:rPr>
          <w:rFonts w:ascii="Source Serif 4" w:cs="Source Serif 4" w:eastAsia="Source Serif 4" w:hAnsi="Source Serif 4"/>
          <w:b/>
          <w:bCs/>
          <w:color w:val="C0392B"/>
          <w:sz w:val="26"/>
          <w:szCs w:val="26"/>
        </w:rPr>
        <w:t xml:space="preserve">7. HERRAMIENTAS — Decisión rápida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PRIORIDAD: </w:t>
      </w:r>
      <w:r>
        <w:rPr>
          <w:rFonts w:ascii="Calibri" w:cs="Calibri" w:eastAsia="Calibri" w:hAnsi="Calibri"/>
          <w:sz w:val="20"/>
          <w:szCs w:val="20"/>
        </w:rPr>
        <w:t xml:space="preserve">Baja. 30 minutos de setup cada una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26"/>
      </w:tblGrid>
      <w:tr>
        <w:tc>
          <w:tcPr>
            <w:tcW w:type="dxa" w:w="20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7A7A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25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7A7A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RECOMENDACIÓN</w:t>
            </w:r>
          </w:p>
        </w:tc>
        <w:tc>
          <w:tcPr>
            <w:tcW w:type="dxa" w:w="25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7A7A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 QUÉ</w:t>
            </w:r>
          </w:p>
        </w:tc>
        <w:tc>
          <w:tcPr>
            <w:tcW w:type="dxa" w:w="2026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7A7A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COSTO</w:t>
            </w:r>
          </w:p>
        </w:tc>
      </w:tr>
      <w:tr>
        <w:tc>
          <w:tcPr>
            <w:tcW w:type="dxa" w:w="20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25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7A7AE6"/>
                <w:sz w:val="20"/>
                <w:szCs w:val="20"/>
              </w:rPr>
              <w:t xml:space="preserve">ClickUp</w:t>
            </w:r>
          </w:p>
        </w:tc>
        <w:tc>
          <w:tcPr>
            <w:tcW w:type="dxa" w:w="25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Practicamos lo que predicamos. Nos da expertise profunda para el audit de Taylor</w:t>
            </w:r>
          </w:p>
        </w:tc>
        <w:tc>
          <w:tcPr>
            <w:tcW w:type="dxa" w:w="2026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0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Time Tracking</w:t>
            </w:r>
          </w:p>
        </w:tc>
        <w:tc>
          <w:tcPr>
            <w:tcW w:type="dxa" w:w="25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7A7AE6"/>
                <w:sz w:val="20"/>
                <w:szCs w:val="20"/>
              </w:rPr>
              <w:t xml:space="preserve">Toggl</w:t>
            </w:r>
          </w:p>
        </w:tc>
        <w:tc>
          <w:tcPr>
            <w:tcW w:type="dxa" w:w="25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Simple, gratis, reportes claros. Necesario para calcular márgenes reales</w:t>
            </w:r>
          </w:p>
        </w:tc>
        <w:tc>
          <w:tcPr>
            <w:tcW w:type="dxa" w:w="2026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0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Docs / Storage</w:t>
            </w:r>
          </w:p>
        </w:tc>
        <w:tc>
          <w:tcPr>
            <w:tcW w:type="dxa" w:w="25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25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Ya lo usamos. Compartir deliverables con Taylor vía links controlados</w:t>
            </w:r>
          </w:p>
        </w:tc>
        <w:tc>
          <w:tcPr>
            <w:tcW w:type="dxa" w:w="2026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Facturación</w:t>
            </w:r>
          </w:p>
        </w:tc>
        <w:tc>
          <w:tcPr>
            <w:tcW w:type="dxa" w:w="25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Wise Business</w:t>
            </w:r>
          </w:p>
        </w:tc>
        <w:tc>
          <w:tcPr>
            <w:tcW w:type="dxa" w:w="25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Recibe USD con comisiones bajas (~0.5%). Emite facturas. Abre en 48hrs</w:t>
            </w:r>
          </w:p>
        </w:tc>
        <w:tc>
          <w:tcPr>
            <w:tcW w:type="dxa" w:w="2026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~$30/año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E0D6D6" w:sz="1" w:space="4"/>
        </w:pBdr>
        <w:spacing w:after="120" w:before="300"/>
      </w:pPr>
      <w:r>
        <w:rPr>
          <w:rFonts w:ascii="Source Serif 4" w:cs="Source Serif 4" w:eastAsia="Source Serif 4" w:hAnsi="Source Serif 4"/>
          <w:b/>
          <w:bCs/>
          <w:color w:val="C0392B"/>
          <w:sz w:val="26"/>
          <w:szCs w:val="26"/>
        </w:rPr>
        <w:t xml:space="preserve">RESUMEN: LAS 3 QUE NO PUEDEN QUEDAR SIN DEFINIR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3000"/>
        <w:gridCol w:w="2026"/>
      </w:tblGrid>
      <w:tr>
        <w:tc>
          <w:tcPr>
            <w:tcW w:type="dxa" w:w="5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7A7A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7A7A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30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7A7A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 QUÉ ES BLOQUEANTE</w:t>
            </w:r>
          </w:p>
        </w:tc>
        <w:tc>
          <w:tcPr>
            <w:tcW w:type="dxa" w:w="2026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7A7A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</w:tr>
      <w:tr>
        <w:tc>
          <w:tcPr>
            <w:tcW w:type="dxa" w:w="5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4"/>
                <w:szCs w:val="24"/>
              </w:rPr>
              <w:t xml:space="preserve">1</w:t>
            </w:r>
          </w:p>
        </w:tc>
        <w:tc>
          <w:tcPr>
            <w:tcW w:type="dxa" w:w="35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Quién firma y con qué entidad</w:t>
            </w:r>
          </w:p>
        </w:tc>
        <w:tc>
          <w:tcPr>
            <w:tcW w:type="dxa" w:w="30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 entidad no hay contrato, sin contrato no hay engagement</w:t>
            </w:r>
          </w:p>
        </w:tc>
        <w:tc>
          <w:tcPr>
            <w:tcW w:type="dxa" w:w="2026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Hoy</w:t>
            </w:r>
          </w:p>
        </w:tc>
      </w:tr>
      <w:tr>
        <w:tc>
          <w:tcPr>
            <w:tcW w:type="dxa" w:w="5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4"/>
                <w:szCs w:val="24"/>
              </w:rPr>
              <w:t xml:space="preserve">2</w:t>
            </w:r>
          </w:p>
        </w:tc>
        <w:tc>
          <w:tcPr>
            <w:tcW w:type="dxa" w:w="35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División de roles confirmada</w:t>
            </w:r>
          </w:p>
        </w:tc>
        <w:tc>
          <w:tcPr>
            <w:tcW w:type="dxa" w:w="30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 roles claros no hay plan de delivery. Taylor pregunta “quién hace qué”</w:t>
            </w:r>
          </w:p>
        </w:tc>
        <w:tc>
          <w:tcPr>
            <w:tcW w:type="dxa" w:w="2026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Hoy</w:t>
            </w:r>
          </w:p>
        </w:tc>
      </w:tr>
      <w:tr>
        <w:tc>
          <w:tcPr>
            <w:tcW w:type="dxa" w:w="5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4"/>
                <w:szCs w:val="24"/>
              </w:rPr>
              <w:t xml:space="preserve">3</w:t>
            </w:r>
          </w:p>
        </w:tc>
        <w:tc>
          <w:tcPr>
            <w:tcW w:type="dxa" w:w="35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Objetivo de la presentación del 27</w:t>
            </w:r>
          </w:p>
        </w:tc>
        <w:tc>
          <w:tcPr>
            <w:tcW w:type="dxa" w:w="3000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 objetivo claro vamos a improvisar. Con objetivo, cada minuto trabaja a favor</w:t>
            </w:r>
          </w:p>
        </w:tc>
        <w:tc>
          <w:tcPr>
            <w:tcW w:type="dxa" w:w="2026"/>
            <w:tcBorders>
              <w:top w:val="single" w:color="E0D6D6" w:sz="1"/>
              <w:left w:val="single" w:color="E0D6D6" w:sz="1"/>
              <w:bottom w:val="single" w:color="E0D6D6" w:sz="1"/>
              <w:right w:val="single" w:color="E0D6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Hoy</w:t>
            </w:r>
          </w:p>
        </w:tc>
      </w:tr>
    </w:tbl>
    <w:p>
      <w:pPr>
        <w:spacing w:after="200"/>
      </w:pPr>
    </w:p>
    <w:p>
      <w:pPr>
        <w:pBdr>
          <w:top w:val="single" w:color="7A7AE6" w:sz="2" w:space="12"/>
        </w:pBdr>
        <w:spacing w:before="200"/>
        <w:jc w:val="center"/>
      </w:pPr>
      <w:r>
        <w:rPr>
          <w:rFonts w:ascii="Calibri" w:cs="Calibri" w:eastAsia="Calibri" w:hAnsi="Calibri"/>
          <w:i/>
          <w:iCs/>
          <w:color w:val="999999"/>
          <w:sz w:val="16"/>
          <w:szCs w:val="16"/>
        </w:rPr>
        <w:t xml:space="preserve">Documento generado por TransformAZ CEO Review — 23 de marzo de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TransformAZ — Agenda Pre-Taylor  |  Página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TRANSFORMAZ — CONFIDENCIAL /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ource Serif 4" w:cs="Source Serif 4" w:eastAsia="Source Serif 4" w:hAnsi="Source Serif 4"/>
      <w:b/>
      <w:bCs/>
      <w:color w:val="7A7AE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Source Serif 4" w:cs="Source Serif 4" w:eastAsia="Source Serif 4" w:hAnsi="Source Serif 4"/>
      <w:b/>
      <w:bCs/>
      <w:color w:val="C0392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2026-03-23T08:22:27.907Z</dcterms:created>
  <dcterms:modified xsi:type="dcterms:W3CDTF">2026-03-23T08:22:27.908Z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