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0"/>
      </w:pPr>
      <w:r>
        <w:rPr>
          <w:rFonts w:ascii="Calibri" w:cs="Calibri" w:eastAsia="Calibri" w:hAnsi="Calibri"/>
          <w:color w:val="1A1A1A"/>
          <w:sz w:val="28"/>
          <w:szCs w:val="28"/>
        </w:rPr>
        <w:t xml:space="preserve">Transform</w:t>
      </w:r>
      <w:r>
        <w:rPr>
          <w:rFonts w:ascii="Calibri" w:cs="Calibri" w:eastAsia="Calibri" w:hAnsi="Calibri"/>
          <w:b/>
          <w:bCs/>
          <w:color w:val="7A7AE6"/>
          <w:sz w:val="28"/>
          <w:szCs w:val="28"/>
        </w:rPr>
        <w:t xml:space="preserve">AZ</w:t>
      </w:r>
    </w:p>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c>
          <w:tcPr>
            <w:tcW w:type="dxa" w:w="1200"/>
            <w:tcBorders>
              <w:top w:val="none" w:color="FFFFFF" w:sz="0"/>
              <w:left w:val="none" w:color="FFFFFF" w:sz="0"/>
              <w:bottom w:val="single" w:color="7A7AE6" w:sz="12"/>
              <w:right w:val="none" w:color="FFFFFF" w:sz="0"/>
            </w:tcBorders>
          </w:tcPr>
          <w:p>
            <w:pPr>
              <w:spacing w:after="0"/>
            </w:pPr>
          </w:p>
        </w:tc>
      </w:tr>
    </w:tbl>
    <w:p>
      <w:pPr>
        <w:spacing w:after="400"/>
      </w:pPr>
    </w:p>
    <w:p>
      <w:pPr>
        <w:spacing w:after="120"/>
      </w:pPr>
      <w:r>
        <w:rPr>
          <w:rFonts w:ascii="Georgia" w:cs="Georgia" w:eastAsia="Georgia" w:hAnsi="Georgia"/>
          <w:b/>
          <w:bCs/>
          <w:color w:val="1A1A1A"/>
          <w:sz w:val="52"/>
          <w:szCs w:val="52"/>
        </w:rPr>
        <w:t xml:space="preserve">Building the Digital Backbone</w:t>
      </w:r>
    </w:p>
    <w:p>
      <w:pPr>
        <w:spacing w:after="600"/>
      </w:pPr>
      <w:r>
        <w:rPr>
          <w:rFonts w:ascii="Georgia" w:cs="Georgia" w:eastAsia="Georgia" w:hAnsi="Georgia"/>
          <w:color w:val="5C5C5C"/>
          <w:sz w:val="24"/>
          <w:szCs w:val="24"/>
        </w:rPr>
        <w:t xml:space="preserve">A Transformation Strategy for Taylor Group</w:t>
      </w:r>
    </w:p>
    <w:p>
      <w:pPr>
        <w:spacing w:after="60"/>
      </w:pPr>
      <w:r>
        <w:rPr>
          <w:rFonts w:ascii="Calibri" w:cs="Calibri" w:eastAsia="Calibri" w:hAnsi="Calibri"/>
          <w:b/>
          <w:bCs/>
          <w:color w:val="5C5C5C"/>
          <w:spacing w:val="40"/>
          <w:sz w:val="14"/>
          <w:szCs w:val="14"/>
        </w:rPr>
        <w:t xml:space="preserve">CLIENT  </w:t>
      </w:r>
      <w:r>
        <w:rPr>
          <w:rFonts w:ascii="Calibri" w:cs="Calibri" w:eastAsia="Calibri" w:hAnsi="Calibri"/>
          <w:color w:val="1A1A1A"/>
          <w:sz w:val="20"/>
          <w:szCs w:val="20"/>
        </w:rPr>
        <w:t xml:space="preserve">Taylor Group</w:t>
      </w:r>
    </w:p>
    <w:p>
      <w:pPr>
        <w:spacing w:after="60"/>
      </w:pPr>
      <w:r>
        <w:rPr>
          <w:rFonts w:ascii="Calibri" w:cs="Calibri" w:eastAsia="Calibri" w:hAnsi="Calibri"/>
          <w:b/>
          <w:bCs/>
          <w:color w:val="5C5C5C"/>
          <w:spacing w:val="40"/>
          <w:sz w:val="14"/>
          <w:szCs w:val="14"/>
        </w:rPr>
        <w:t xml:space="preserve">DATE  </w:t>
      </w:r>
      <w:r>
        <w:rPr>
          <w:rFonts w:ascii="Calibri" w:cs="Calibri" w:eastAsia="Calibri" w:hAnsi="Calibri"/>
          <w:color w:val="1A1A1A"/>
          <w:sz w:val="20"/>
          <w:szCs w:val="20"/>
        </w:rPr>
        <w:t xml:space="preserve">March 2026</w:t>
      </w:r>
    </w:p>
    <w:p>
      <w:pPr>
        <w:spacing w:after="300"/>
      </w:pPr>
      <w:r>
        <w:rPr>
          <w:rFonts w:ascii="Calibri" w:cs="Calibri" w:eastAsia="Calibri" w:hAnsi="Calibri"/>
          <w:b/>
          <w:bCs/>
          <w:color w:val="5C5C5C"/>
          <w:spacing w:val="40"/>
          <w:sz w:val="14"/>
          <w:szCs w:val="14"/>
        </w:rPr>
        <w:t xml:space="preserve">REFERENCE  </w:t>
      </w:r>
      <w:r>
        <w:rPr>
          <w:rFonts w:ascii="Calibri" w:cs="Calibri" w:eastAsia="Calibri" w:hAnsi="Calibri"/>
          <w:color w:val="1A1A1A"/>
          <w:sz w:val="20"/>
          <w:szCs w:val="20"/>
        </w:rPr>
        <w:t xml:space="preserve">TAZ-TG-2026-02</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7A7AE6" w:sz="1"/>
              <w:left w:val="single" w:color="7A7AE6" w:sz="1"/>
              <w:bottom w:val="single" w:color="7A7AE6" w:sz="1"/>
              <w:right w:val="single" w:color="7A7AE6" w:sz="1"/>
            </w:tcBorders>
            <w:shd w:fill="EDEDFC" w:val="clear"/>
            <w:tcMar>
              <w:top w:type="dxa" w:w="40"/>
              <w:left w:type="dxa" w:w="120"/>
              <w:bottom w:type="dxa" w:w="40"/>
              <w:right w:type="dxa" w:w="120"/>
            </w:tcMar>
          </w:tcPr>
          <w:p>
            <w:pPr>
              <w:jc w:val="center"/>
            </w:pPr>
            <w:r>
              <w:rPr>
                <w:rFonts w:ascii="Calibri" w:cs="Calibri" w:eastAsia="Calibri" w:hAnsi="Calibri"/>
                <w:b/>
                <w:bCs/>
                <w:color w:val="7A7AE6"/>
                <w:spacing w:val="60"/>
                <w:sz w:val="14"/>
                <w:szCs w:val="14"/>
              </w:rPr>
              <w:t xml:space="preserve">STRATEGIC PROPOSAL</w:t>
            </w:r>
          </w:p>
        </w:tc>
      </w:tr>
    </w:tbl>
    <w:p>
      <w:r>
        <w:br w:type="page"/>
      </w:r>
    </w:p>
    <w:p>
      <w:pPr>
        <w:spacing w:after="60" w:before="100"/>
      </w:pPr>
      <w:r>
        <w:rPr>
          <w:rFonts w:ascii="Calibri" w:cs="Calibri" w:eastAsia="Calibri" w:hAnsi="Calibri"/>
          <w:b/>
          <w:bCs/>
          <w:color w:val="7A7AE6"/>
          <w:spacing w:val="60"/>
          <w:sz w:val="16"/>
          <w:szCs w:val="16"/>
        </w:rPr>
        <w:t xml:space="preserve">01 — THE OPPORTUNITY</w:t>
      </w:r>
    </w:p>
    <w:p>
      <w:pPr>
        <w:pStyle w:val="Heading1"/>
      </w:pPr>
      <w:r>
        <w:t xml:space="preserve">95 Years of Growth. One Moment of Strategic Advantage.</w:t>
      </w:r>
    </w:p>
    <w:p>
      <w:pPr>
        <w:spacing w:after="100"/>
      </w:pPr>
    </w:p>
    <w:p>
      <w:pPr>
        <w:spacing w:after="160"/>
      </w:pPr>
      <w:r>
        <w:rPr>
          <w:rFonts w:ascii="Calibri" w:cs="Calibri" w:eastAsia="Calibri" w:hAnsi="Calibri"/>
          <w:color w:val="1A1A1A"/>
          <w:sz w:val="22"/>
          <w:szCs w:val="22"/>
        </w:rPr>
        <w:t xml:space="preserve">Taylor Group has grown organically for 95 years into an enterprise-scale operation — $85M revenue, 321 people, spanning 40+ countries. But this growth has been powered by startup-era processes. That’s not a criticism; it’s a testament to the caliber of the people. The question isn’t whether Taylor has succeeded — it’s what becomes possible when you add a digital foundation to that talent.</w:t>
      </w:r>
    </w:p>
    <w:p>
      <w:pPr>
        <w:spacing w:after="160"/>
      </w:pPr>
      <w:r>
        <w:rPr>
          <w:rFonts w:ascii="Calibri" w:cs="Calibri" w:eastAsia="Calibri" w:hAnsi="Calibri"/>
          <w:color w:val="1A1A1A"/>
          <w:sz w:val="22"/>
          <w:szCs w:val="22"/>
        </w:rPr>
        <w:t xml:space="preserve">The experiential marketing industry is at an inflection point. The market has reached $15.8B, with 74% of brands increasing event budgets. But the landscape is shifting radically: lead times that were 8 weeks are now 2 weeks. AI-powered competitors are entering the space. The companies that thrive won’t be the ones with the most people — they’ll be the ones with the smartest operations.</w:t>
      </w:r>
    </w:p>
    <w:p>
      <w:pPr>
        <w:spacing w:after="160"/>
      </w:pPr>
      <w:r>
        <w:rPr>
          <w:rFonts w:ascii="Calibri" w:cs="Calibri" w:eastAsia="Calibri" w:hAnsi="Calibri"/>
          <w:color w:val="1A1A1A"/>
          <w:sz w:val="22"/>
          <w:szCs w:val="22"/>
        </w:rPr>
        <w:t xml:space="preserve">The tools are already in place. ClickUp, Gemini, Microsoft 365 — Taylor has invested in the technology. But without a unified strategy, these tools sit dormant. The investment has been made; the return hasn’t been realized.</w:t>
      </w:r>
    </w:p>
    <w:p>
      <w:pPr>
        <w:spacing w:after="160"/>
      </w:pPr>
      <w:r>
        <w:rPr>
          <w:rFonts w:ascii="Calibri" w:cs="Calibri" w:eastAsia="Calibri" w:hAnsi="Calibri"/>
          <w:color w:val="1A1A1A"/>
          <w:sz w:val="22"/>
          <w:szCs w:val="22"/>
        </w:rPr>
        <w:t xml:space="preserve">There is no CTO. No unified technology roadmap. No connective tissue between tools, teams, and offices. This isn’t unusual for companies that grew through acquisition and organic expansion — but it means every department has optimized in isolation.</w:t>
      </w:r>
    </w:p>
    <w:p>
      <w:pPr>
        <w:spacing w:after="160"/>
      </w:pPr>
      <w:r>
        <w:rPr>
          <w:rFonts w:ascii="Calibri" w:cs="Calibri" w:eastAsia="Calibri" w:hAnsi="Calibri"/>
          <w:color w:val="1A1A1A"/>
          <w:sz w:val="22"/>
          <w:szCs w:val="22"/>
        </w:rPr>
        <w:t xml:space="preserve">Only 16% of digital transformations fully succeed (McKinsey). That means doing this right matters more than doing it fast. The approach matters. The sequencing matters. The culture matters.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EDEDFC" w:sz="0"/>
              <w:left w:val="single" w:color="7A7AE6" w:sz="12"/>
              <w:bottom w:val="none" w:color="EDEDFC" w:sz="0"/>
              <w:right w:val="none" w:color="EDEDFC" w:sz="0"/>
            </w:tcBorders>
            <w:shd w:fill="EDEDFC" w:val="clear"/>
            <w:tcMar>
              <w:top w:type="dxa" w:w="120"/>
              <w:left w:type="dxa" w:w="200"/>
              <w:bottom w:type="dxa" w:w="120"/>
              <w:right w:type="dxa" w:w="200"/>
            </w:tcMar>
          </w:tcPr>
          <w:p>
            <w:pPr>
              <w:spacing w:after="60"/>
            </w:pPr>
            <w:r>
              <w:rPr>
                <w:rFonts w:ascii="Calibri" w:cs="Calibri" w:eastAsia="Calibri" w:hAnsi="Calibri"/>
                <w:b/>
                <w:bCs/>
                <w:color w:val="7A7AE6"/>
                <w:spacing w:val="40"/>
                <w:sz w:val="14"/>
                <w:szCs w:val="14"/>
              </w:rPr>
              <w:t xml:space="preserve">THE DIGITAL BACKBONE</w:t>
            </w:r>
          </w:p>
          <w:p>
            <w:r>
              <w:rPr>
                <w:rFonts w:ascii="Calibri" w:cs="Calibri" w:eastAsia="Calibri" w:hAnsi="Calibri"/>
                <w:color w:val="1A1A1A"/>
                <w:sz w:val="20"/>
                <w:szCs w:val="20"/>
              </w:rPr>
              <w:t xml:space="preserve">The “Digital Backbone” is what transforms Taylor from a collection of talented teams into one connected, AI-amplified operation. Not new software — new connective tissue.</w:t>
            </w:r>
          </w:p>
        </w:tc>
      </w:tr>
    </w:tbl>
    <w:p>
      <w:pPr>
        <w:spacing w:after="200"/>
      </w:pPr>
    </w:p>
    <w:p>
      <w:pPr>
        <w:pStyle w:val="Heading2"/>
      </w:pPr>
      <w:r>
        <w:t xml:space="preserve">The Cost of Waiting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DF5E6" w:sz="0"/>
              <w:left w:val="single" w:color="9A6F1E" w:sz="12"/>
              <w:bottom w:val="none" w:color="FDF5E6" w:sz="0"/>
              <w:right w:val="none" w:color="FDF5E6" w:sz="0"/>
            </w:tcBorders>
            <w:shd w:fill="FDF5E6" w:val="clear"/>
            <w:tcMar>
              <w:top w:type="dxa" w:w="120"/>
              <w:left w:type="dxa" w:w="200"/>
              <w:bottom w:type="dxa" w:w="120"/>
              <w:right w:type="dxa" w:w="200"/>
            </w:tcMar>
          </w:tcPr>
          <w:p>
            <w:pPr>
              <w:spacing w:after="60"/>
            </w:pPr>
            <w:r>
              <w:rPr>
                <w:rFonts w:ascii="Calibri" w:cs="Calibri" w:eastAsia="Calibri" w:hAnsi="Calibri"/>
                <w:b/>
                <w:bCs/>
                <w:color w:val="9A6F1E"/>
                <w:spacing w:val="40"/>
                <w:sz w:val="14"/>
                <w:szCs w:val="14"/>
              </w:rPr>
              <w:t xml:space="preserve">URGENCY</w:t>
            </w:r>
          </w:p>
          <w:p>
            <w:pPr>
              <w:spacing w:after="80"/>
            </w:pPr>
            <w:r>
              <w:rPr>
                <w:rFonts w:ascii="Calibri" w:cs="Calibri" w:eastAsia="Calibri" w:hAnsi="Calibri"/>
                <w:color w:val="1A1A1A"/>
                <w:sz w:val="20"/>
                <w:szCs w:val="20"/>
              </w:rPr>
              <w:t xml:space="preserve">Every quarter without a unified digital strategy:</w:t>
            </w:r>
          </w:p>
          <w:p>
            <w:pPr>
              <w:spacing w:after="80"/>
            </w:pPr>
            <w:r>
              <w:rPr>
                <w:rFonts w:ascii="Calibri" w:cs="Calibri" w:eastAsia="Calibri" w:hAnsi="Calibri"/>
                <w:color w:val="1A1A1A"/>
                <w:sz w:val="20"/>
                <w:szCs w:val="20"/>
              </w:rPr>
              <w:t xml:space="preserve">• Redundant asset fabrication continues unchecked — estimated $125K–$300K per quarter</w:t>
            </w:r>
          </w:p>
          <w:p>
            <w:pPr>
              <w:spacing w:after="80"/>
            </w:pPr>
            <w:r>
              <w:rPr>
                <w:rFonts w:ascii="Calibri" w:cs="Calibri" w:eastAsia="Calibri" w:hAnsi="Calibri"/>
                <w:color w:val="1A1A1A"/>
                <w:sz w:val="20"/>
                <w:szCs w:val="20"/>
              </w:rPr>
              <w:t xml:space="preserve">• Sales↔production misalignment compounds with growth — each new market multiplies the coordination gap</w:t>
            </w:r>
          </w:p>
          <w:p>
            <w:pPr>
              <w:spacing w:after="80"/>
            </w:pPr>
            <w:r>
              <w:rPr>
                <w:rFonts w:ascii="Calibri" w:cs="Calibri" w:eastAsia="Calibri" w:hAnsi="Calibri"/>
                <w:color w:val="1A1A1A"/>
                <w:sz w:val="20"/>
                <w:szCs w:val="20"/>
              </w:rPr>
              <w:t xml:space="preserve">• AI-powered competitors are already operationalizing — Freeman, GPJ, and Jack Morton have publicly announced AI and automation programs</w:t>
            </w:r>
          </w:p>
          <w:p>
            <w:pPr>
              <w:spacing w:after="80"/>
            </w:pPr>
            <w:r>
              <w:rPr>
                <w:rFonts w:ascii="Calibri" w:cs="Calibri" w:eastAsia="Calibri" w:hAnsi="Calibri"/>
                <w:color w:val="1A1A1A"/>
                <w:sz w:val="20"/>
                <w:szCs w:val="20"/>
              </w:rPr>
              <w:t xml:space="preserve">• ClickUp, Gemini, and M365 investments depreciate without activation — Taylor is paying for capability it isn’t using</w:t>
            </w:r>
          </w:p>
          <w:p>
            <w:pPr>
              <w:spacing w:after="80"/>
            </w:pPr>
            <w:r>
              <w:rPr>
                <w:rFonts w:ascii="Calibri" w:cs="Calibri" w:eastAsia="Calibri" w:hAnsi="Calibri"/>
                <w:color w:val="1A1A1A"/>
                <w:sz w:val="20"/>
                <w:szCs w:val="20"/>
              </w:rPr>
              <w:t xml:space="preserve">This is not a 2027 problem with a 2026 option. The operational cost is being paid today.</w:t>
            </w:r>
          </w:p>
        </w:tc>
      </w:tr>
    </w:tbl>
    <w:p>
      <w:r>
        <w:br w:type="page"/>
      </w:r>
    </w:p>
    <w:p>
      <w:pPr>
        <w:spacing w:after="60" w:before="100"/>
      </w:pPr>
      <w:r>
        <w:rPr>
          <w:rFonts w:ascii="Calibri" w:cs="Calibri" w:eastAsia="Calibri" w:hAnsi="Calibri"/>
          <w:b/>
          <w:bCs/>
          <w:color w:val="7A7AE6"/>
          <w:spacing w:val="60"/>
          <w:sz w:val="16"/>
          <w:szCs w:val="16"/>
        </w:rPr>
        <w:t xml:space="preserve">02 — KEY FINDINGS</w:t>
      </w:r>
    </w:p>
    <w:p>
      <w:pPr>
        <w:pStyle w:val="Heading1"/>
      </w:pPr>
      <w:r>
        <w:t xml:space="preserve">What Discovery Revealed</w:t>
      </w:r>
    </w:p>
    <w:p>
      <w:pPr>
        <w:spacing w:after="100"/>
      </w:pPr>
    </w:p>
    <w:p>
      <w:pPr>
        <w:spacing w:after="160"/>
      </w:pPr>
      <w:r>
        <w:rPr>
          <w:rFonts w:ascii="Calibri" w:cs="Calibri" w:eastAsia="Calibri" w:hAnsi="Calibri"/>
          <w:color w:val="1A1A1A"/>
          <w:sz w:val="22"/>
          <w:szCs w:val="22"/>
        </w:rPr>
        <w:t xml:space="preserve">Six patterns emerged from our conversations with Dean, Mike, and the leadership team. Each represents both a current cost and a future opportunity.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D5D5D5" w:sz="1"/>
              <w:bottom w:val="single" w:color="D5D5D5" w:sz="1"/>
              <w:right w:val="single" w:color="D5D5D5" w:sz="1"/>
            </w:tcBorders>
            <w:tcMar>
              <w:top w:type="dxa" w:w="140"/>
              <w:left w:type="dxa" w:w="200"/>
              <w:bottom w:type="dxa" w:w="140"/>
              <w:right w:type="dxa" w:w="200"/>
            </w:tcMar>
          </w:tcPr>
          <w:p>
            <w:pPr>
              <w:spacing w:after="60"/>
            </w:pPr>
            <w:r>
              <w:rPr>
                <w:rFonts w:ascii="Calibri" w:cs="Calibri" w:eastAsia="Calibri" w:hAnsi="Calibri"/>
                <w:b/>
                <w:bCs/>
                <w:color w:val="C0392B"/>
                <w:spacing w:val="30"/>
                <w:sz w:val="14"/>
                <w:szCs w:val="14"/>
              </w:rPr>
              <w:t xml:space="preserve">HIGH IMPACT  </w:t>
            </w:r>
          </w:p>
          <w:p>
            <w:pPr>
              <w:spacing w:after="100"/>
            </w:pPr>
            <w:r>
              <w:rPr>
                <w:rFonts w:ascii="Georgia" w:cs="Georgia" w:eastAsia="Georgia" w:hAnsi="Georgia"/>
                <w:b/>
                <w:bCs/>
                <w:color w:val="1A1A1A"/>
                <w:sz w:val="24"/>
                <w:szCs w:val="24"/>
              </w:rPr>
              <w:t xml:space="preserve">Asset Management Blind Spot</w:t>
            </w:r>
          </w:p>
          <w:p>
            <w:pPr>
              <w:pBdr>
                <w:left w:val="single" w:color="7A7AE6" w:sz="4" w:space="8"/>
              </w:pBdr>
              <w:spacing w:after="60"/>
              <w:ind w:left="200"/>
            </w:pPr>
            <w:r>
              <w:rPr>
                <w:rFonts w:ascii="Calibri" w:cs="Calibri" w:eastAsia="Calibri" w:hAnsi="Calibri"/>
                <w:color w:val="5C5C5C"/>
                <w:sz w:val="19"/>
                <w:szCs w:val="19"/>
              </w:rPr>
              <w:t xml:space="preserve">“We probably have, I don’t know, somewhere between $20 and $30 million worth of assets in our warehouses. And honestly, I couldn’t tell you exactly what we have.”</w:t>
            </w:r>
          </w:p>
          <w:p>
            <w:pPr>
              <w:pBdr>
                <w:left w:val="single" w:color="7A7AE6" w:sz="4" w:space="8"/>
              </w:pBdr>
              <w:spacing w:after="120"/>
              <w:ind w:left="200"/>
            </w:pPr>
            <w:r>
              <w:rPr>
                <w:rFonts w:ascii="Calibri" w:cs="Calibri" w:eastAsia="Calibri" w:hAnsi="Calibri"/>
                <w:b/>
                <w:bCs/>
                <w:color w:val="5C5C5C"/>
                <w:sz w:val="16"/>
                <w:szCs w:val="16"/>
              </w:rPr>
              <w:t xml:space="preserve">— Dean</w:t>
            </w:r>
          </w:p>
          <w:p>
            <w:pPr>
              <w:spacing w:after="40"/>
            </w:pPr>
            <w:r>
              <w:rPr>
                <w:rFonts w:ascii="Calibri" w:cs="Calibri" w:eastAsia="Calibri" w:hAnsi="Calibri"/>
                <w:b/>
                <w:bCs/>
                <w:color w:val="1A1A1A"/>
                <w:sz w:val="18"/>
                <w:szCs w:val="18"/>
              </w:rPr>
              <w:t xml:space="preserve">What this means</w:t>
            </w:r>
          </w:p>
          <w:p>
            <w:pPr>
              <w:spacing w:after="100"/>
            </w:pPr>
            <w:r>
              <w:rPr>
                <w:rFonts w:ascii="Calibri" w:cs="Calibri" w:eastAsia="Calibri" w:hAnsi="Calibri"/>
                <w:color w:val="5C5C5C"/>
                <w:sz w:val="20"/>
                <w:szCs w:val="20"/>
              </w:rPr>
              <w:t xml:space="preserve">Without centralized asset tracking, teams rebuild what already exists. Across three warehouses and 40+ countries of event deployments, the duplication is invisible but costly.</w:t>
            </w:r>
          </w:p>
          <w:p>
            <w:pPr>
              <w:spacing w:after="40"/>
            </w:pPr>
            <w:r>
              <w:rPr>
                <w:rFonts w:ascii="Calibri" w:cs="Calibri" w:eastAsia="Calibri" w:hAnsi="Calibri"/>
                <w:b/>
                <w:bCs/>
                <w:color w:val="9A6F1E"/>
                <w:sz w:val="18"/>
                <w:szCs w:val="18"/>
              </w:rPr>
              <w:t xml:space="preserve">Estimated Annual Impact: </w:t>
            </w:r>
            <w:r>
              <w:rPr>
                <w:rFonts w:ascii="Calibri" w:cs="Calibri" w:eastAsia="Calibri" w:hAnsi="Calibri"/>
                <w:color w:val="9A6F1E"/>
                <w:sz w:val="20"/>
                <w:szCs w:val="20"/>
              </w:rPr>
              <w:t xml:space="preserve">$500K – $1.2M in redundant fabrication, lost assets, and missed reuse opportunities. Based on 3-5% redundant fabrication rate across $15-25M annual asset-related spend.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D5D5D5" w:sz="1"/>
              <w:bottom w:val="single" w:color="D5D5D5" w:sz="1"/>
              <w:right w:val="single" w:color="D5D5D5" w:sz="1"/>
            </w:tcBorders>
            <w:tcMar>
              <w:top w:type="dxa" w:w="140"/>
              <w:left w:type="dxa" w:w="200"/>
              <w:bottom w:type="dxa" w:w="140"/>
              <w:right w:type="dxa" w:w="200"/>
            </w:tcMar>
          </w:tcPr>
          <w:p>
            <w:pPr>
              <w:spacing w:after="60"/>
            </w:pPr>
            <w:r>
              <w:rPr>
                <w:rFonts w:ascii="Calibri" w:cs="Calibri" w:eastAsia="Calibri" w:hAnsi="Calibri"/>
                <w:b/>
                <w:bCs/>
                <w:color w:val="C0392B"/>
                <w:spacing w:val="30"/>
                <w:sz w:val="14"/>
                <w:szCs w:val="14"/>
              </w:rPr>
              <w:t xml:space="preserve">HIGH IMPACT  </w:t>
            </w:r>
          </w:p>
          <w:p>
            <w:pPr>
              <w:spacing w:after="100"/>
            </w:pPr>
            <w:r>
              <w:rPr>
                <w:rFonts w:ascii="Georgia" w:cs="Georgia" w:eastAsia="Georgia" w:hAnsi="Georgia"/>
                <w:b/>
                <w:bCs/>
                <w:color w:val="1A1A1A"/>
                <w:sz w:val="24"/>
                <w:szCs w:val="24"/>
              </w:rPr>
              <w:t xml:space="preserve">Sales ↔ Production Disconnect</w:t>
            </w:r>
          </w:p>
          <w:p>
            <w:pPr>
              <w:pBdr>
                <w:left w:val="single" w:color="7A7AE6" w:sz="4" w:space="8"/>
              </w:pBdr>
              <w:spacing w:after="60"/>
              <w:ind w:left="200"/>
            </w:pPr>
            <w:r>
              <w:rPr>
                <w:rFonts w:ascii="Calibri" w:cs="Calibri" w:eastAsia="Calibri" w:hAnsi="Calibri"/>
                <w:color w:val="5C5C5C"/>
                <w:sz w:val="19"/>
                <w:szCs w:val="19"/>
              </w:rPr>
              <w:t xml:space="preserve">“Sales will sell something and then production finds out and goes, ‘Wait, we can’t do that in that timeline.’”</w:t>
            </w:r>
          </w:p>
          <w:p>
            <w:pPr>
              <w:pBdr>
                <w:left w:val="single" w:color="7A7AE6" w:sz="4" w:space="8"/>
              </w:pBdr>
              <w:spacing w:after="120"/>
              <w:ind w:left="200"/>
            </w:pPr>
            <w:r>
              <w:rPr>
                <w:rFonts w:ascii="Calibri" w:cs="Calibri" w:eastAsia="Calibri" w:hAnsi="Calibri"/>
                <w:b/>
                <w:bCs/>
                <w:color w:val="5C5C5C"/>
                <w:sz w:val="16"/>
                <w:szCs w:val="16"/>
              </w:rPr>
              <w:t xml:space="preserve">— Dean</w:t>
            </w:r>
          </w:p>
          <w:p>
            <w:pPr>
              <w:spacing w:after="40"/>
            </w:pPr>
            <w:r>
              <w:rPr>
                <w:rFonts w:ascii="Calibri" w:cs="Calibri" w:eastAsia="Calibri" w:hAnsi="Calibri"/>
                <w:b/>
                <w:bCs/>
                <w:color w:val="1A1A1A"/>
                <w:sz w:val="18"/>
                <w:szCs w:val="18"/>
              </w:rPr>
              <w:t xml:space="preserve">What this means</w:t>
            </w:r>
          </w:p>
          <w:p>
            <w:pPr>
              <w:spacing w:after="100"/>
            </w:pPr>
            <w:r>
              <w:rPr>
                <w:rFonts w:ascii="Calibri" w:cs="Calibri" w:eastAsia="Calibri" w:hAnsi="Calibri"/>
                <w:color w:val="5C5C5C"/>
                <w:sz w:val="20"/>
                <w:szCs w:val="20"/>
              </w:rPr>
              <w:t xml:space="preserve">Sales operates without real-time visibility into production capacity, leading to over-promises, compressed timelines, and margin erosion.</w:t>
            </w:r>
          </w:p>
          <w:p>
            <w:pPr>
              <w:spacing w:after="40"/>
            </w:pPr>
            <w:r>
              <w:rPr>
                <w:rFonts w:ascii="Calibri" w:cs="Calibri" w:eastAsia="Calibri" w:hAnsi="Calibri"/>
                <w:b/>
                <w:bCs/>
                <w:color w:val="9A6F1E"/>
                <w:sz w:val="18"/>
                <w:szCs w:val="18"/>
              </w:rPr>
              <w:t xml:space="preserve">Estimated Annual Impact: </w:t>
            </w:r>
            <w:r>
              <w:rPr>
                <w:rFonts w:ascii="Calibri" w:cs="Calibri" w:eastAsia="Calibri" w:hAnsi="Calibri"/>
                <w:color w:val="9A6F1E"/>
                <w:sz w:val="20"/>
                <w:szCs w:val="20"/>
              </w:rPr>
              <w:t xml:space="preserve">$400K – $800K in rush costs, rework, and margin compression. Estimated from rush premiums (15-25%) on misaligned projects.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6F1E" w:sz="6"/>
              <w:left w:val="single" w:color="D5D5D5" w:sz="1"/>
              <w:bottom w:val="single" w:color="D5D5D5" w:sz="1"/>
              <w:right w:val="single" w:color="D5D5D5" w:sz="1"/>
            </w:tcBorders>
            <w:tcMar>
              <w:top w:type="dxa" w:w="140"/>
              <w:left w:type="dxa" w:w="200"/>
              <w:bottom w:type="dxa" w:w="140"/>
              <w:right w:type="dxa" w:w="200"/>
            </w:tcMar>
          </w:tcPr>
          <w:p>
            <w:pPr>
              <w:spacing w:after="60"/>
            </w:pPr>
            <w:r>
              <w:rPr>
                <w:rFonts w:ascii="Calibri" w:cs="Calibri" w:eastAsia="Calibri" w:hAnsi="Calibri"/>
                <w:b/>
                <w:bCs/>
                <w:color w:val="9A6F1E"/>
                <w:spacing w:val="30"/>
                <w:sz w:val="14"/>
                <w:szCs w:val="14"/>
              </w:rPr>
              <w:t xml:space="preserve">MEDIUM IMPACT  </w:t>
            </w:r>
          </w:p>
          <w:p>
            <w:pPr>
              <w:spacing w:after="100"/>
            </w:pPr>
            <w:r>
              <w:rPr>
                <w:rFonts w:ascii="Georgia" w:cs="Georgia" w:eastAsia="Georgia" w:hAnsi="Georgia"/>
                <w:b/>
                <w:bCs/>
                <w:color w:val="1A1A1A"/>
                <w:sz w:val="24"/>
                <w:szCs w:val="24"/>
              </w:rPr>
              <w:t xml:space="preserve">Executive Time Drain</w:t>
            </w:r>
          </w:p>
          <w:p>
            <w:pPr>
              <w:pBdr>
                <w:left w:val="single" w:color="7A7AE6" w:sz="4" w:space="8"/>
              </w:pBdr>
              <w:spacing w:after="60"/>
              <w:ind w:left="200"/>
            </w:pPr>
            <w:r>
              <w:rPr>
                <w:rFonts w:ascii="Calibri" w:cs="Calibri" w:eastAsia="Calibri" w:hAnsi="Calibri"/>
                <w:color w:val="5C5C5C"/>
                <w:sz w:val="19"/>
                <w:szCs w:val="19"/>
              </w:rPr>
              <w:t xml:space="preserve">“I get 400 to 500 emails a day. I’d say 70% are CCs where I don’t really need to be included.”</w:t>
            </w:r>
          </w:p>
          <w:p>
            <w:pPr>
              <w:pBdr>
                <w:left w:val="single" w:color="7A7AE6" w:sz="4" w:space="8"/>
              </w:pBdr>
              <w:spacing w:after="120"/>
              <w:ind w:left="200"/>
            </w:pPr>
            <w:r>
              <w:rPr>
                <w:rFonts w:ascii="Calibri" w:cs="Calibri" w:eastAsia="Calibri" w:hAnsi="Calibri"/>
                <w:b/>
                <w:bCs/>
                <w:color w:val="5C5C5C"/>
                <w:sz w:val="16"/>
                <w:szCs w:val="16"/>
              </w:rPr>
              <w:t xml:space="preserve">— Dean</w:t>
            </w:r>
          </w:p>
          <w:p>
            <w:pPr>
              <w:spacing w:after="40"/>
            </w:pPr>
            <w:r>
              <w:rPr>
                <w:rFonts w:ascii="Calibri" w:cs="Calibri" w:eastAsia="Calibri" w:hAnsi="Calibri"/>
                <w:b/>
                <w:bCs/>
                <w:color w:val="1A1A1A"/>
                <w:sz w:val="18"/>
                <w:szCs w:val="18"/>
              </w:rPr>
              <w:t xml:space="preserve">What this means</w:t>
            </w:r>
          </w:p>
          <w:p>
            <w:pPr>
              <w:spacing w:after="100"/>
            </w:pPr>
            <w:r>
              <w:rPr>
                <w:rFonts w:ascii="Calibri" w:cs="Calibri" w:eastAsia="Calibri" w:hAnsi="Calibri"/>
                <w:color w:val="5C5C5C"/>
                <w:sz w:val="20"/>
                <w:szCs w:val="20"/>
              </w:rPr>
              <w:t xml:space="preserve">Senior leadership spends hours daily processing communication that could be filtered, summarized, or routed automatically. This isn’t just an email problem — it’s a decision-making bottleneck.</w:t>
            </w:r>
          </w:p>
          <w:p>
            <w:pPr>
              <w:spacing w:after="40"/>
            </w:pPr>
            <w:r>
              <w:rPr>
                <w:rFonts w:ascii="Calibri" w:cs="Calibri" w:eastAsia="Calibri" w:hAnsi="Calibri"/>
                <w:b/>
                <w:bCs/>
                <w:color w:val="9A6F1E"/>
                <w:sz w:val="18"/>
                <w:szCs w:val="18"/>
              </w:rPr>
              <w:t xml:space="preserve">Estimated Annual Impact: </w:t>
            </w:r>
            <w:r>
              <w:rPr>
                <w:rFonts w:ascii="Calibri" w:cs="Calibri" w:eastAsia="Calibri" w:hAnsi="Calibri"/>
                <w:color w:val="9A6F1E"/>
                <w:sz w:val="20"/>
                <w:szCs w:val="20"/>
              </w:rPr>
              <w:t xml:space="preserve">$225K – $300K in executive productivity lost to communication overhead. Based on 2-3 hours/day across 3-4 senior leaders at loaded cost.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6F1E" w:sz="6"/>
              <w:left w:val="single" w:color="D5D5D5" w:sz="1"/>
              <w:bottom w:val="single" w:color="D5D5D5" w:sz="1"/>
              <w:right w:val="single" w:color="D5D5D5" w:sz="1"/>
            </w:tcBorders>
            <w:tcMar>
              <w:top w:type="dxa" w:w="140"/>
              <w:left w:type="dxa" w:w="200"/>
              <w:bottom w:type="dxa" w:w="140"/>
              <w:right w:type="dxa" w:w="200"/>
            </w:tcMar>
          </w:tcPr>
          <w:p>
            <w:pPr>
              <w:spacing w:after="60"/>
            </w:pPr>
            <w:r>
              <w:rPr>
                <w:rFonts w:ascii="Calibri" w:cs="Calibri" w:eastAsia="Calibri" w:hAnsi="Calibri"/>
                <w:b/>
                <w:bCs/>
                <w:color w:val="9A6F1E"/>
                <w:spacing w:val="30"/>
                <w:sz w:val="14"/>
                <w:szCs w:val="14"/>
              </w:rPr>
              <w:t xml:space="preserve">MEDIUM IMPACT  </w:t>
            </w:r>
          </w:p>
          <w:p>
            <w:pPr>
              <w:spacing w:after="100"/>
            </w:pPr>
            <w:r>
              <w:rPr>
                <w:rFonts w:ascii="Georgia" w:cs="Georgia" w:eastAsia="Georgia" w:hAnsi="Georgia"/>
                <w:b/>
                <w:bCs/>
                <w:color w:val="1A1A1A"/>
                <w:sz w:val="24"/>
                <w:szCs w:val="24"/>
              </w:rPr>
              <w:t xml:space="preserve">Dormant AI Investment</w:t>
            </w:r>
          </w:p>
          <w:p>
            <w:pPr>
              <w:pBdr>
                <w:left w:val="single" w:color="7A7AE6" w:sz="4" w:space="8"/>
              </w:pBdr>
              <w:spacing w:after="60"/>
              <w:ind w:left="200"/>
            </w:pPr>
            <w:r>
              <w:rPr>
                <w:rFonts w:ascii="Calibri" w:cs="Calibri" w:eastAsia="Calibri" w:hAnsi="Calibri"/>
                <w:color w:val="5C5C5C"/>
                <w:sz w:val="19"/>
                <w:szCs w:val="19"/>
              </w:rPr>
              <w:t xml:space="preserve">“We’re paying for ClickUp Brain but nobody’s really using it.”</w:t>
            </w:r>
          </w:p>
          <w:p>
            <w:pPr>
              <w:pBdr>
                <w:left w:val="single" w:color="7A7AE6" w:sz="4" w:space="8"/>
              </w:pBdr>
              <w:spacing w:after="120"/>
              <w:ind w:left="200"/>
            </w:pPr>
            <w:r>
              <w:rPr>
                <w:rFonts w:ascii="Calibri" w:cs="Calibri" w:eastAsia="Calibri" w:hAnsi="Calibri"/>
                <w:b/>
                <w:bCs/>
                <w:color w:val="5C5C5C"/>
                <w:sz w:val="16"/>
                <w:szCs w:val="16"/>
              </w:rPr>
              <w:t xml:space="preserve">— Mike</w:t>
            </w:r>
          </w:p>
          <w:p>
            <w:pPr>
              <w:spacing w:after="40"/>
            </w:pPr>
            <w:r>
              <w:rPr>
                <w:rFonts w:ascii="Calibri" w:cs="Calibri" w:eastAsia="Calibri" w:hAnsi="Calibri"/>
                <w:b/>
                <w:bCs/>
                <w:color w:val="1A1A1A"/>
                <w:sz w:val="18"/>
                <w:szCs w:val="18"/>
              </w:rPr>
              <w:t xml:space="preserve">What this means</w:t>
            </w:r>
          </w:p>
          <w:p>
            <w:pPr>
              <w:spacing w:after="100"/>
            </w:pPr>
            <w:r>
              <w:rPr>
                <w:rFonts w:ascii="Calibri" w:cs="Calibri" w:eastAsia="Calibri" w:hAnsi="Calibri"/>
                <w:color w:val="5C5C5C"/>
                <w:sz w:val="20"/>
                <w:szCs w:val="20"/>
              </w:rPr>
              <w:t xml:space="preserve">Taylor is already paying for AI capabilities embedded in its project management platform. The investment exists; the activation doesn’t. This represents the lowest-hanging fruit in the transformation.</w:t>
            </w:r>
          </w:p>
          <w:p>
            <w:pPr>
              <w:spacing w:after="40"/>
            </w:pPr>
            <w:r>
              <w:rPr>
                <w:rFonts w:ascii="Calibri" w:cs="Calibri" w:eastAsia="Calibri" w:hAnsi="Calibri"/>
                <w:b/>
                <w:bCs/>
                <w:color w:val="9A6F1E"/>
                <w:sz w:val="18"/>
                <w:szCs w:val="18"/>
              </w:rPr>
              <w:t xml:space="preserve">Estimated Annual Impact: </w:t>
            </w:r>
            <w:r>
              <w:rPr>
                <w:rFonts w:ascii="Calibri" w:cs="Calibri" w:eastAsia="Calibri" w:hAnsi="Calibri"/>
                <w:color w:val="9A6F1E"/>
                <w:sz w:val="20"/>
                <w:szCs w:val="20"/>
              </w:rPr>
              <w:t xml:space="preserve">$75K – $150K in unrealized productivity gains from tools already purchased.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6"/>
              <w:left w:val="single" w:color="D5D5D5" w:sz="1"/>
              <w:bottom w:val="single" w:color="D5D5D5" w:sz="1"/>
              <w:right w:val="single" w:color="D5D5D5" w:sz="1"/>
            </w:tcBorders>
            <w:tcMar>
              <w:top w:type="dxa" w:w="140"/>
              <w:left w:type="dxa" w:w="200"/>
              <w:bottom w:type="dxa" w:w="140"/>
              <w:right w:type="dxa" w:w="200"/>
            </w:tcMar>
          </w:tcPr>
          <w:p>
            <w:pPr>
              <w:spacing w:after="60"/>
            </w:pPr>
            <w:r>
              <w:rPr>
                <w:rFonts w:ascii="Calibri" w:cs="Calibri" w:eastAsia="Calibri" w:hAnsi="Calibri"/>
                <w:b/>
                <w:bCs/>
                <w:color w:val="2C5282"/>
                <w:spacing w:val="30"/>
                <w:sz w:val="14"/>
                <w:szCs w:val="14"/>
              </w:rPr>
              <w:t xml:space="preserve">STRATEGIC  </w:t>
            </w:r>
          </w:p>
          <w:p>
            <w:pPr>
              <w:spacing w:after="100"/>
            </w:pPr>
            <w:r>
              <w:rPr>
                <w:rFonts w:ascii="Georgia" w:cs="Georgia" w:eastAsia="Georgia" w:hAnsi="Georgia"/>
                <w:b/>
                <w:bCs/>
                <w:color w:val="1A1A1A"/>
                <w:sz w:val="24"/>
                <w:szCs w:val="24"/>
              </w:rPr>
              <w:t xml:space="preserve">Generational Adoption Gap</w:t>
            </w:r>
          </w:p>
          <w:p>
            <w:pPr>
              <w:pBdr>
                <w:left w:val="single" w:color="7A7AE6" w:sz="4" w:space="8"/>
              </w:pBdr>
              <w:spacing w:after="60"/>
              <w:ind w:left="200"/>
            </w:pPr>
            <w:r>
              <w:rPr>
                <w:rFonts w:ascii="Calibri" w:cs="Calibri" w:eastAsia="Calibri" w:hAnsi="Calibri"/>
                <w:color w:val="5C5C5C"/>
                <w:sz w:val="19"/>
                <w:szCs w:val="19"/>
              </w:rPr>
              <w:t xml:space="preserve">“The younger employees pick things up instantly. Some of our senior people... it’s a harder conversation.”</w:t>
            </w:r>
          </w:p>
          <w:p>
            <w:pPr>
              <w:pBdr>
                <w:left w:val="single" w:color="7A7AE6" w:sz="4" w:space="8"/>
              </w:pBdr>
              <w:spacing w:after="120"/>
              <w:ind w:left="200"/>
            </w:pPr>
            <w:r>
              <w:rPr>
                <w:rFonts w:ascii="Calibri" w:cs="Calibri" w:eastAsia="Calibri" w:hAnsi="Calibri"/>
                <w:b/>
                <w:bCs/>
                <w:color w:val="5C5C5C"/>
                <w:sz w:val="16"/>
                <w:szCs w:val="16"/>
              </w:rPr>
              <w:t xml:space="preserve">— Dean</w:t>
            </w:r>
          </w:p>
          <w:p>
            <w:pPr>
              <w:spacing w:after="40"/>
            </w:pPr>
            <w:r>
              <w:rPr>
                <w:rFonts w:ascii="Calibri" w:cs="Calibri" w:eastAsia="Calibri" w:hAnsi="Calibri"/>
                <w:b/>
                <w:bCs/>
                <w:color w:val="1A1A1A"/>
                <w:sz w:val="18"/>
                <w:szCs w:val="18"/>
              </w:rPr>
              <w:t xml:space="preserve">What this means</w:t>
            </w:r>
          </w:p>
          <w:p>
            <w:pPr>
              <w:spacing w:after="100"/>
            </w:pPr>
            <w:r>
              <w:rPr>
                <w:rFonts w:ascii="Calibri" w:cs="Calibri" w:eastAsia="Calibri" w:hAnsi="Calibri"/>
                <w:color w:val="5C5C5C"/>
                <w:sz w:val="20"/>
                <w:szCs w:val="20"/>
              </w:rPr>
              <w:t xml:space="preserve">Without a segmented adoption strategy, technology rollouts create friction instead of momentum. Different personas need different pathways, different training, and different timelines.</w:t>
            </w:r>
          </w:p>
          <w:p>
            <w:pPr>
              <w:spacing w:after="40"/>
            </w:pPr>
            <w:r>
              <w:rPr>
                <w:rFonts w:ascii="Calibri" w:cs="Calibri" w:eastAsia="Calibri" w:hAnsi="Calibri"/>
                <w:b/>
                <w:bCs/>
                <w:color w:val="9A6F1E"/>
                <w:sz w:val="18"/>
                <w:szCs w:val="18"/>
              </w:rPr>
              <w:t xml:space="preserve">Strategic Importance: </w:t>
            </w:r>
            <w:r>
              <w:rPr>
                <w:rFonts w:ascii="Calibri" w:cs="Calibri" w:eastAsia="Calibri" w:hAnsi="Calibri"/>
                <w:color w:val="9A6F1E"/>
                <w:sz w:val="20"/>
                <w:szCs w:val="20"/>
              </w:rPr>
              <w:t xml:space="preserve">Every month of delayed adoption costs momentum. Industry data shows 6-month delays double transformation costs.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6"/>
              <w:left w:val="single" w:color="D5D5D5" w:sz="1"/>
              <w:bottom w:val="single" w:color="D5D5D5" w:sz="1"/>
              <w:right w:val="single" w:color="D5D5D5" w:sz="1"/>
            </w:tcBorders>
            <w:tcMar>
              <w:top w:type="dxa" w:w="140"/>
              <w:left w:type="dxa" w:w="200"/>
              <w:bottom w:type="dxa" w:w="140"/>
              <w:right w:type="dxa" w:w="200"/>
            </w:tcMar>
          </w:tcPr>
          <w:p>
            <w:pPr>
              <w:spacing w:after="60"/>
            </w:pPr>
            <w:r>
              <w:rPr>
                <w:rFonts w:ascii="Calibri" w:cs="Calibri" w:eastAsia="Calibri" w:hAnsi="Calibri"/>
                <w:b/>
                <w:bCs/>
                <w:color w:val="2C5282"/>
                <w:spacing w:val="30"/>
                <w:sz w:val="14"/>
                <w:szCs w:val="14"/>
              </w:rPr>
              <w:t xml:space="preserve">STRATEGIC  </w:t>
            </w:r>
          </w:p>
          <w:p>
            <w:pPr>
              <w:spacing w:after="100"/>
            </w:pPr>
            <w:r>
              <w:rPr>
                <w:rFonts w:ascii="Georgia" w:cs="Georgia" w:eastAsia="Georgia" w:hAnsi="Georgia"/>
                <w:b/>
                <w:bCs/>
                <w:color w:val="1A1A1A"/>
                <w:sz w:val="24"/>
                <w:szCs w:val="24"/>
              </w:rPr>
              <w:t xml:space="preserve">Missing Strategic Tech Layer</w:t>
            </w:r>
          </w:p>
          <w:p>
            <w:pPr>
              <w:pBdr>
                <w:left w:val="single" w:color="7A7AE6" w:sz="4" w:space="8"/>
              </w:pBdr>
              <w:spacing w:after="60"/>
              <w:ind w:left="200"/>
            </w:pPr>
            <w:r>
              <w:rPr>
                <w:rFonts w:ascii="Calibri" w:cs="Calibri" w:eastAsia="Calibri" w:hAnsi="Calibri"/>
                <w:color w:val="5C5C5C"/>
                <w:sz w:val="19"/>
                <w:szCs w:val="19"/>
              </w:rPr>
              <w:t xml:space="preserve">“We don’t have a CTO. We’ve never had someone whose job is to look at all of this holistically.”</w:t>
            </w:r>
          </w:p>
          <w:p>
            <w:pPr>
              <w:pBdr>
                <w:left w:val="single" w:color="7A7AE6" w:sz="4" w:space="8"/>
              </w:pBdr>
              <w:spacing w:after="120"/>
              <w:ind w:left="200"/>
            </w:pPr>
            <w:r>
              <w:rPr>
                <w:rFonts w:ascii="Calibri" w:cs="Calibri" w:eastAsia="Calibri" w:hAnsi="Calibri"/>
                <w:b/>
                <w:bCs/>
                <w:color w:val="5C5C5C"/>
                <w:sz w:val="16"/>
                <w:szCs w:val="16"/>
              </w:rPr>
              <w:t xml:space="preserve">— Dean</w:t>
            </w:r>
          </w:p>
          <w:p>
            <w:pPr>
              <w:spacing w:after="40"/>
            </w:pPr>
            <w:r>
              <w:rPr>
                <w:rFonts w:ascii="Calibri" w:cs="Calibri" w:eastAsia="Calibri" w:hAnsi="Calibri"/>
                <w:b/>
                <w:bCs/>
                <w:color w:val="1A1A1A"/>
                <w:sz w:val="18"/>
                <w:szCs w:val="18"/>
              </w:rPr>
              <w:t xml:space="preserve">What this means</w:t>
            </w:r>
          </w:p>
          <w:p>
            <w:pPr>
              <w:spacing w:after="100"/>
            </w:pPr>
            <w:r>
              <w:rPr>
                <w:rFonts w:ascii="Calibri" w:cs="Calibri" w:eastAsia="Calibri" w:hAnsi="Calibri"/>
                <w:color w:val="5C5C5C"/>
                <w:sz w:val="20"/>
                <w:szCs w:val="20"/>
              </w:rPr>
              <w:t xml:space="preserve">Every technology decision has been made reactively and departmentally. There’s no architecture, no roadmap, no governance. TransformAZ fills this gap during the engagement — and builds the framework so Taylor can sustain it after.</w:t>
            </w:r>
          </w:p>
          <w:p>
            <w:pPr>
              <w:spacing w:after="40"/>
            </w:pPr>
            <w:r>
              <w:rPr>
                <w:rFonts w:ascii="Calibri" w:cs="Calibri" w:eastAsia="Calibri" w:hAnsi="Calibri"/>
                <w:b/>
                <w:bCs/>
                <w:color w:val="9A6F1E"/>
                <w:sz w:val="18"/>
                <w:szCs w:val="18"/>
              </w:rPr>
              <w:t xml:space="preserve">Strategic Importance: </w:t>
            </w:r>
            <w:r>
              <w:rPr>
                <w:rFonts w:ascii="Calibri" w:cs="Calibri" w:eastAsia="Calibri" w:hAnsi="Calibri"/>
                <w:color w:val="9A6F1E"/>
                <w:sz w:val="20"/>
                <w:szCs w:val="20"/>
              </w:rPr>
              <w:t xml:space="preserve">$200K – $400K annually in duplicated tools, unused licenses, and integration workarounds.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DEAEA" w:sz="0"/>
              <w:left w:val="single" w:color="C0392B" w:sz="12"/>
              <w:bottom w:val="none" w:color="FDEAEA" w:sz="0"/>
              <w:right w:val="none" w:color="FDEAEA" w:sz="0"/>
            </w:tcBorders>
            <w:shd w:fill="FDEAEA" w:val="clear"/>
            <w:tcMar>
              <w:top w:type="dxa" w:w="120"/>
              <w:left w:type="dxa" w:w="200"/>
              <w:bottom w:type="dxa" w:w="120"/>
              <w:right w:type="dxa" w:w="200"/>
            </w:tcMar>
          </w:tcPr>
          <w:p>
            <w:pPr>
              <w:spacing w:after="60"/>
            </w:pPr>
            <w:r>
              <w:rPr>
                <w:rFonts w:ascii="Calibri" w:cs="Calibri" w:eastAsia="Calibri" w:hAnsi="Calibri"/>
                <w:b/>
                <w:bCs/>
                <w:color w:val="C0392B"/>
                <w:spacing w:val="40"/>
                <w:sz w:val="14"/>
                <w:szCs w:val="14"/>
              </w:rPr>
              <w:t xml:space="preserve">AGGREGATE ESTIMATED IMPACT</w:t>
            </w:r>
          </w:p>
          <w:p>
            <w:r>
              <w:rPr>
                <w:rFonts w:ascii="Calibri" w:cs="Calibri" w:eastAsia="Calibri" w:hAnsi="Calibri"/>
                <w:color w:val="1A1A1A"/>
                <w:sz w:val="20"/>
                <w:szCs w:val="20"/>
              </w:rPr>
              <w:t xml:space="preserve">Aggregate Estimated Impact: $1.4M – $2.85M annually in operational friction, redundant spend, and unrealized technology value. These estimates are conservative. The actual figure becomes precise during the INTAKE phase — one of its primary deliverables.</w:t>
            </w:r>
          </w:p>
        </w:tc>
      </w:tr>
    </w:tbl>
    <w:p>
      <w:r>
        <w:br w:type="page"/>
      </w:r>
    </w:p>
    <w:p>
      <w:pPr>
        <w:spacing w:after="60" w:before="100"/>
      </w:pPr>
      <w:r>
        <w:rPr>
          <w:rFonts w:ascii="Calibri" w:cs="Calibri" w:eastAsia="Calibri" w:hAnsi="Calibri"/>
          <w:b/>
          <w:bCs/>
          <w:color w:val="7A7AE6"/>
          <w:spacing w:val="60"/>
          <w:sz w:val="16"/>
          <w:szCs w:val="16"/>
        </w:rPr>
        <w:t xml:space="preserve">03 — THE DIGITAL BACKBONE</w:t>
      </w:r>
    </w:p>
    <w:p>
      <w:pPr>
        <w:pStyle w:val="Heading1"/>
      </w:pPr>
      <w:r>
        <w:t xml:space="preserve">One Connected Operation</w:t>
      </w:r>
    </w:p>
    <w:p>
      <w:pPr>
        <w:spacing w:after="100"/>
      </w:pPr>
    </w:p>
    <w:p>
      <w:pPr>
        <w:spacing w:after="160"/>
      </w:pPr>
      <w:r>
        <w:rPr>
          <w:rFonts w:ascii="Calibri" w:cs="Calibri" w:eastAsia="Calibri" w:hAnsi="Calibri"/>
          <w:color w:val="1A1A1A"/>
          <w:sz w:val="22"/>
          <w:szCs w:val="22"/>
        </w:rPr>
        <w:t xml:space="preserve">Think of the Digital Backbone as the nervous system of Taylor Group’s operation. Just as the spine connects every part of the body — enabling the brain to communicate with the hands, the eyes to coordinate with the feet — the Digital Backbone connects every part of Taylor’s business: sales, production, assets, communication, and decisions.</w:t>
      </w:r>
    </w:p>
    <w:p>
      <w:pPr>
        <w:spacing w:after="160"/>
      </w:pPr>
      <w:r>
        <w:rPr>
          <w:rFonts w:ascii="Calibri" w:cs="Calibri" w:eastAsia="Calibri" w:hAnsi="Calibri"/>
          <w:color w:val="1A1A1A"/>
          <w:sz w:val="22"/>
          <w:szCs w:val="22"/>
        </w:rPr>
        <w:t xml:space="preserve">In practice, this means: information flows seamlessly between offices. Production capacity is visible to sales in real time. Assets are tracked, cataloged, and reusable. Decisions are informed by data, not gut feel. And AI amplifies human talent rather than replacing it.</w:t>
      </w:r>
    </w:p>
    <w:p>
      <w:pPr>
        <w:spacing w:after="160"/>
      </w:pPr>
      <w:r>
        <w:rPr>
          <w:rFonts w:ascii="Calibri" w:cs="Calibri" w:eastAsia="Calibri" w:hAnsi="Calibri"/>
          <w:color w:val="1A1A1A"/>
          <w:sz w:val="22"/>
          <w:szCs w:val="22"/>
        </w:rPr>
        <w:t xml:space="preserve">Critically, the Digital Backbone is built on what Taylor already owns. This isn’t about buying new software. It’s about activating what’s there, connecting what’s siloed, and adding the intelligence layer that turns tools into a system.</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C5282" w:sz="12"/>
              <w:left w:val="none" w:color="FFFFFF" w:sz="0"/>
              <w:bottom w:val="none" w:color="FFFFFF" w:sz="0"/>
              <w:right w:val="none" w:color="FFFFFF" w:sz="0"/>
            </w:tcBorders>
            <w:shd w:fill="E8F0FE" w:val="clear"/>
            <w:tcMar>
              <w:top w:type="dxa" w:w="120"/>
              <w:left w:type="dxa" w:w="160"/>
              <w:bottom w:type="dxa" w:w="120"/>
              <w:right w:type="dxa" w:w="160"/>
            </w:tcMar>
          </w:tcPr>
          <w:p>
            <w:pPr>
              <w:spacing w:after="40"/>
              <w:jc w:val="center"/>
            </w:pPr>
            <w:r>
              <w:rPr>
                <w:rFonts w:ascii="Calibri" w:cs="Calibri" w:eastAsia="Calibri" w:hAnsi="Calibri"/>
                <w:b/>
                <w:bCs/>
                <w:color w:val="2C5282"/>
                <w:spacing w:val="60"/>
                <w:sz w:val="22"/>
                <w:szCs w:val="22"/>
              </w:rPr>
              <w:t xml:space="preserve">CREATE</w:t>
            </w:r>
          </w:p>
          <w:p>
            <w:pPr>
              <w:jc w:val="center"/>
            </w:pPr>
            <w:r>
              <w:rPr>
                <w:rFonts w:ascii="Calibri" w:cs="Calibri" w:eastAsia="Calibri" w:hAnsi="Calibri"/>
                <w:color w:val="5C5C5C"/>
                <w:sz w:val="18"/>
                <w:szCs w:val="18"/>
              </w:rPr>
              <w:t xml:space="preserve">Strategy &amp; Creative</w:t>
            </w:r>
          </w:p>
        </w:tc>
        <w:tc>
          <w:tcPr>
            <w:tcW w:type="dxa" w:w="3120"/>
            <w:tcBorders>
              <w:top w:val="single" w:color="2A7D4F" w:sz="12"/>
              <w:left w:val="none" w:color="FFFFFF" w:sz="0"/>
              <w:bottom w:val="none" w:color="FFFFFF" w:sz="0"/>
              <w:right w:val="none" w:color="FFFFFF" w:sz="0"/>
            </w:tcBorders>
            <w:shd w:fill="E8F5EE" w:val="clear"/>
            <w:tcMar>
              <w:top w:type="dxa" w:w="120"/>
              <w:left w:type="dxa" w:w="160"/>
              <w:bottom w:type="dxa" w:w="120"/>
              <w:right w:type="dxa" w:w="160"/>
            </w:tcMar>
          </w:tcPr>
          <w:p>
            <w:pPr>
              <w:spacing w:after="40"/>
              <w:jc w:val="center"/>
            </w:pPr>
            <w:r>
              <w:rPr>
                <w:rFonts w:ascii="Calibri" w:cs="Calibri" w:eastAsia="Calibri" w:hAnsi="Calibri"/>
                <w:b/>
                <w:bCs/>
                <w:color w:val="2A7D4F"/>
                <w:spacing w:val="60"/>
                <w:sz w:val="22"/>
                <w:szCs w:val="22"/>
              </w:rPr>
              <w:t xml:space="preserve">BUILD</w:t>
            </w:r>
          </w:p>
          <w:p>
            <w:pPr>
              <w:jc w:val="center"/>
            </w:pPr>
            <w:r>
              <w:rPr>
                <w:rFonts w:ascii="Calibri" w:cs="Calibri" w:eastAsia="Calibri" w:hAnsi="Calibri"/>
                <w:color w:val="5C5C5C"/>
                <w:sz w:val="18"/>
                <w:szCs w:val="18"/>
              </w:rPr>
              <w:t xml:space="preserve">Experiences &amp; Fabrication</w:t>
            </w:r>
          </w:p>
        </w:tc>
        <w:tc>
          <w:tcPr>
            <w:tcW w:type="dxa" w:w="3120"/>
            <w:tcBorders>
              <w:top w:val="single" w:color="9A6F1E" w:sz="12"/>
              <w:left w:val="none" w:color="FFFFFF" w:sz="0"/>
              <w:bottom w:val="none" w:color="FFFFFF" w:sz="0"/>
              <w:right w:val="none" w:color="FFFFFF" w:sz="0"/>
            </w:tcBorders>
            <w:shd w:fill="FDF5E6" w:val="clear"/>
            <w:tcMar>
              <w:top w:type="dxa" w:w="120"/>
              <w:left w:type="dxa" w:w="160"/>
              <w:bottom w:type="dxa" w:w="120"/>
              <w:right w:type="dxa" w:w="160"/>
            </w:tcMar>
          </w:tcPr>
          <w:p>
            <w:pPr>
              <w:spacing w:after="40"/>
              <w:jc w:val="center"/>
            </w:pPr>
            <w:r>
              <w:rPr>
                <w:rFonts w:ascii="Calibri" w:cs="Calibri" w:eastAsia="Calibri" w:hAnsi="Calibri"/>
                <w:b/>
                <w:bCs/>
                <w:color w:val="9A6F1E"/>
                <w:spacing w:val="60"/>
                <w:sz w:val="22"/>
                <w:szCs w:val="22"/>
              </w:rPr>
              <w:t xml:space="preserve">EXECUTE</w:t>
            </w:r>
          </w:p>
          <w:p>
            <w:pPr>
              <w:jc w:val="center"/>
            </w:pPr>
            <w:r>
              <w:rPr>
                <w:rFonts w:ascii="Calibri" w:cs="Calibri" w:eastAsia="Calibri" w:hAnsi="Calibri"/>
                <w:color w:val="5C5C5C"/>
                <w:sz w:val="18"/>
                <w:szCs w:val="18"/>
              </w:rPr>
              <w:t xml:space="preserve">Management &amp; Measurement</w:t>
            </w:r>
          </w:p>
        </w:tc>
      </w:tr>
      <w:tr>
        <w:tc>
          <w:tcPr>
            <w:tcW w:type="dxa" w:w="9360"/>
            <w:gridSpan w:val="3"/>
            <w:tcBorders>
              <w:top w:val="none" w:color="FFFFFF" w:sz="0"/>
              <w:left w:val="none" w:color="FFFFFF" w:sz="0"/>
              <w:bottom w:val="none" w:color="FFFFFF" w:sz="0"/>
              <w:right w:val="none" w:color="FFFFFF" w:sz="0"/>
            </w:tcBorders>
            <w:shd w:fill="7A7AE6" w:val="clear"/>
            <w:tcMar>
              <w:top w:type="dxa" w:w="100"/>
              <w:left w:type="dxa" w:w="160"/>
              <w:bottom w:type="dxa" w:w="100"/>
              <w:right w:type="dxa" w:w="160"/>
            </w:tcMar>
          </w:tcPr>
          <w:p>
            <w:pPr>
              <w:jc w:val="center"/>
            </w:pPr>
            <w:r>
              <w:rPr>
                <w:rFonts w:ascii="Calibri" w:cs="Calibri" w:eastAsia="Calibri" w:hAnsi="Calibri"/>
                <w:b/>
                <w:bCs/>
                <w:color w:val="FFFFFF"/>
                <w:spacing w:val="120"/>
                <w:sz w:val="20"/>
                <w:szCs w:val="20"/>
              </w:rPr>
              <w:t xml:space="preserve">DIGITAL BACKBONE</w:t>
            </w:r>
          </w:p>
        </w:tc>
      </w:tr>
    </w:tbl>
    <w:p>
      <w:pPr>
        <w:spacing w:after="200"/>
      </w:pPr>
    </w:p>
    <w:p>
      <w:pPr>
        <w:spacing w:after="160"/>
      </w:pPr>
      <w:r>
        <w:rPr>
          <w:rFonts w:ascii="Calibri" w:cs="Calibri" w:eastAsia="Calibri" w:hAnsi="Calibri"/>
          <w:color w:val="1A1A1A"/>
          <w:sz w:val="22"/>
          <w:szCs w:val="22"/>
        </w:rPr>
        <w:t xml:space="preserve">Taylor already operates in Create, Build, Execute. You create experiences for the world’s biggest brands. You build everything from scenic environments to digital platforms. You execute programs across 40+ countries. The Digital Backbone doesn’t change what you do — it transforms how well you can do it.</w:t>
      </w:r>
    </w:p>
    <w:p>
      <w:pPr>
        <w:spacing w:after="160"/>
      </w:pPr>
      <w:r>
        <w:rPr>
          <w:rFonts w:ascii="Calibri" w:cs="Calibri" w:eastAsia="Calibri" w:hAnsi="Calibri"/>
          <w:color w:val="1A1A1A"/>
          <w:sz w:val="22"/>
          <w:szCs w:val="22"/>
        </w:rPr>
        <w:t xml:space="preserve">Like the operational nervous system that Dassault Systèmes is building for manufacturing — but tailored specifically for experiential marketing.</w:t>
      </w:r>
    </w:p>
    <w:p>
      <w:r>
        <w:br w:type="page"/>
      </w:r>
    </w:p>
    <w:p>
      <w:pPr>
        <w:spacing w:after="60" w:before="100"/>
      </w:pPr>
      <w:r>
        <w:rPr>
          <w:rFonts w:ascii="Calibri" w:cs="Calibri" w:eastAsia="Calibri" w:hAnsi="Calibri"/>
          <w:b/>
          <w:bCs/>
          <w:color w:val="7A7AE6"/>
          <w:spacing w:val="60"/>
          <w:sz w:val="16"/>
          <w:szCs w:val="16"/>
        </w:rPr>
        <w:t xml:space="preserve">04 — THE TRANSFORMATION</w:t>
      </w:r>
    </w:p>
    <w:p>
      <w:pPr>
        <w:pStyle w:val="Heading1"/>
      </w:pPr>
      <w:r>
        <w:t xml:space="preserve">Your Language. Your Framework. Five Dimensions.</w:t>
      </w:r>
    </w:p>
    <w:p>
      <w:pPr>
        <w:spacing w:after="100"/>
      </w:pPr>
    </w:p>
    <w:p>
      <w:pPr>
        <w:spacing w:after="160"/>
      </w:pPr>
      <w:r>
        <w:rPr>
          <w:rFonts w:ascii="Calibri" w:cs="Calibri" w:eastAsia="Calibri" w:hAnsi="Calibri"/>
          <w:color w:val="1A1A1A"/>
          <w:sz w:val="22"/>
          <w:szCs w:val="22"/>
        </w:rPr>
        <w:t xml:space="preserve">Taylor already operates in Create, Build, Execute. It’s how you conceive, produce, and deliver experiences for the world’s most demanding brands. The Digital Backbone doesn’t change that framework — it strengthens every layer of it.</w:t>
      </w:r>
    </w:p>
    <w:p>
      <w:pPr>
        <w:spacing w:after="160"/>
      </w:pPr>
      <w:r>
        <w:rPr>
          <w:rFonts w:ascii="Calibri" w:cs="Calibri" w:eastAsia="Calibri" w:hAnsi="Calibri"/>
          <w:color w:val="1A1A1A"/>
          <w:sz w:val="22"/>
          <w:szCs w:val="22"/>
        </w:rPr>
        <w:t xml:space="preserve">Across all three phases, we address </w:t>
      </w:r>
      <w:r>
        <w:rPr>
          <w:rFonts w:ascii="Calibri" w:cs="Calibri" w:eastAsia="Calibri" w:hAnsi="Calibri"/>
          <w:b/>
          <w:bCs/>
          <w:color w:val="1A1A1A"/>
          <w:sz w:val="22"/>
          <w:szCs w:val="22"/>
        </w:rPr>
        <w:t xml:space="preserve">five transformation dimensions</w:t>
      </w:r>
      <w:r>
        <w:rPr>
          <w:rFonts w:ascii="Calibri" w:cs="Calibri" w:eastAsia="Calibri" w:hAnsi="Calibri"/>
          <w:color w:val="1A1A1A"/>
          <w:sz w:val="22"/>
          <w:szCs w:val="22"/>
        </w:rPr>
        <w:t xml:space="preserve"> — the areas where operational maturity determines whether a company scales efficiently or simply grows larger:</w:t>
      </w:r>
    </w:p>
    <w:p>
      <w:pPr>
        <w:spacing w:after="60"/>
      </w:pPr>
    </w:p>
    <w:p>
      <w:pPr>
        <w:spacing w:after="200"/>
        <w:jc w:val="center"/>
      </w:pPr>
      <w:r>
        <w:rPr>
          <w:rFonts w:ascii="Calibri" w:cs="Calibri" w:eastAsia="Calibri" w:hAnsi="Calibri"/>
          <w:b/>
          <w:bCs/>
          <w:color w:val="2A7D4F"/>
          <w:spacing w:val="20"/>
          <w:sz w:val="14"/>
          <w:szCs w:val="14"/>
        </w:rPr>
        <w:t xml:space="preserve">PEOPLE &amp; CULTURE</w:t>
      </w:r>
      <w:r>
        <w:rPr>
          <w:rFonts w:ascii="Calibri" w:cs="Calibri" w:eastAsia="Calibri" w:hAnsi="Calibri"/>
          <w:sz w:val="14"/>
          <w:szCs w:val="14"/>
        </w:rPr>
        <w:t xml:space="preserve">    </w:t>
      </w:r>
      <w:r>
        <w:rPr>
          <w:rFonts w:ascii="Calibri" w:cs="Calibri" w:eastAsia="Calibri" w:hAnsi="Calibri"/>
          <w:b/>
          <w:bCs/>
          <w:color w:val="2C5282"/>
          <w:spacing w:val="20"/>
          <w:sz w:val="14"/>
          <w:szCs w:val="14"/>
        </w:rPr>
        <w:t xml:space="preserve">PROCESSES</w:t>
      </w:r>
      <w:r>
        <w:rPr>
          <w:rFonts w:ascii="Calibri" w:cs="Calibri" w:eastAsia="Calibri" w:hAnsi="Calibri"/>
          <w:sz w:val="14"/>
          <w:szCs w:val="14"/>
        </w:rPr>
        <w:t xml:space="preserve">    </w:t>
      </w:r>
      <w:r>
        <w:rPr>
          <w:rFonts w:ascii="Calibri" w:cs="Calibri" w:eastAsia="Calibri" w:hAnsi="Calibri"/>
          <w:b/>
          <w:bCs/>
          <w:color w:val="7A7AE6"/>
          <w:spacing w:val="20"/>
          <w:sz w:val="14"/>
          <w:szCs w:val="14"/>
        </w:rPr>
        <w:t xml:space="preserve">TECH INTEGRATIONS</w:t>
      </w:r>
      <w:r>
        <w:rPr>
          <w:rFonts w:ascii="Calibri" w:cs="Calibri" w:eastAsia="Calibri" w:hAnsi="Calibri"/>
          <w:sz w:val="14"/>
          <w:szCs w:val="14"/>
        </w:rPr>
        <w:t xml:space="preserve">    </w:t>
      </w:r>
      <w:r>
        <w:rPr>
          <w:rFonts w:ascii="Calibri" w:cs="Calibri" w:eastAsia="Calibri" w:hAnsi="Calibri"/>
          <w:b/>
          <w:bCs/>
          <w:color w:val="9A6F1E"/>
          <w:spacing w:val="20"/>
          <w:sz w:val="14"/>
          <w:szCs w:val="14"/>
        </w:rPr>
        <w:t xml:space="preserve">DATA</w:t>
      </w:r>
      <w:r>
        <w:rPr>
          <w:rFonts w:ascii="Calibri" w:cs="Calibri" w:eastAsia="Calibri" w:hAnsi="Calibri"/>
          <w:sz w:val="14"/>
          <w:szCs w:val="14"/>
        </w:rPr>
        <w:t xml:space="preserve">    </w:t>
      </w:r>
      <w:r>
        <w:rPr>
          <w:rFonts w:ascii="Calibri" w:cs="Calibri" w:eastAsia="Calibri" w:hAnsi="Calibri"/>
          <w:b/>
          <w:bCs/>
          <w:color w:val="C0392B"/>
          <w:spacing w:val="20"/>
          <w:sz w:val="14"/>
          <w:szCs w:val="14"/>
        </w:rPr>
        <w:t xml:space="preserve">COMPLIANCE</w:t>
      </w:r>
    </w:p>
    <w:p>
      <w:pPr>
        <w:spacing w:after="160"/>
      </w:pPr>
      <w:r>
        <w:rPr>
          <w:rFonts w:ascii="Calibri" w:cs="Calibri" w:eastAsia="Calibri" w:hAnsi="Calibri"/>
          <w:color w:val="1A1A1A"/>
          <w:sz w:val="22"/>
          <w:szCs w:val="22"/>
        </w:rPr>
        <w:t xml:space="preserve">Each dimension shows up differently depending on the phase. Here’s how the backbone transforms each layer — and what it means for Taylor.</w:t>
      </w:r>
    </w:p>
    <w:p>
      <w:pPr>
        <w:spacing w:after="100"/>
      </w:pPr>
    </w:p>
    <w:p>
      <w:pPr>
        <w:spacing w:after="60" w:before="100"/>
      </w:pPr>
      <w:r>
        <w:rPr>
          <w:rFonts w:ascii="Calibri" w:cs="Calibri" w:eastAsia="Calibri" w:hAnsi="Calibri"/>
          <w:b/>
          <w:bCs/>
          <w:color w:val="2C5282"/>
          <w:spacing w:val="60"/>
          <w:sz w:val="16"/>
          <w:szCs w:val="16"/>
        </w:rPr>
        <w:t xml:space="preserve">CREATE — STRATEGY &amp; CREATIVE</w:t>
      </w:r>
    </w:p>
    <w:p>
      <w:pPr>
        <w:pStyle w:val="Heading2"/>
      </w:pPr>
      <w:r>
        <w:t xml:space="preserve">CREATE</w:t>
      </w:r>
    </w:p>
    <w:p>
      <w:pPr>
        <w:spacing w:after="40"/>
      </w:pPr>
    </w:p>
    <w:p>
      <w:pPr>
        <w:spacing w:after="160"/>
      </w:pPr>
      <w:r>
        <w:rPr>
          <w:rFonts w:ascii="Calibri" w:cs="Calibri" w:eastAsia="Calibri" w:hAnsi="Calibri"/>
          <w:color w:val="5C5C5C"/>
          <w:sz w:val="22"/>
          <w:szCs w:val="22"/>
        </w:rPr>
        <w:t xml:space="preserve">The backbone helps teams think faster, think smarter, and create with more context.</w:t>
      </w:r>
    </w:p>
    <w:p>
      <w:pPr>
        <w:spacing w:after="160"/>
      </w:pPr>
      <w:r>
        <w:rPr>
          <w:rFonts w:ascii="Calibri" w:cs="Calibri" w:eastAsia="Calibri" w:hAnsi="Calibri"/>
          <w:color w:val="1A1A1A"/>
          <w:sz w:val="22"/>
          <w:szCs w:val="22"/>
        </w:rPr>
        <w:t xml:space="preserve">In the Create layer, the backbone enables teams to think with more context, move faster, and develop ideas that are better connected to business reality. Today, ideation depends almost entirely on the individuals in the room — their memory, their relationships, their experience. The backbone changes that equation.</w:t>
      </w:r>
    </w:p>
    <w:p>
      <w:pPr>
        <w:spacing w:after="60"/>
      </w:pPr>
    </w:p>
    <w:p>
      <w:pPr>
        <w:spacing w:after="80" w:before="200"/>
      </w:pPr>
      <w:r>
        <w:rPr>
          <w:rFonts w:ascii="Georgia" w:cs="Georgia" w:eastAsia="Georgia" w:hAnsi="Georgia"/>
          <w:b/>
          <w:bCs/>
          <w:color w:val="2C5282"/>
          <w:sz w:val="22"/>
          <w:szCs w:val="22"/>
        </w:rPr>
        <w:t xml:space="preserve">Strategic Intelligence</w:t>
      </w:r>
    </w:p>
    <w:p>
      <w:pPr>
        <w:spacing w:after="160"/>
      </w:pPr>
      <w:r>
        <w:rPr>
          <w:rFonts w:ascii="Calibri" w:cs="Calibri" w:eastAsia="Calibri" w:hAnsi="Calibri"/>
          <w:color w:val="1A1A1A"/>
          <w:sz w:val="22"/>
          <w:szCs w:val="22"/>
        </w:rPr>
        <w:t xml:space="preserve">The backbone gives strategy and creative teams access to broader and better inputs at the start of the process:</w:t>
      </w:r>
    </w:p>
    <w:p>
      <w:pPr>
        <w:pStyle w:val="ListParagraph"/>
        <w:numPr>
          <w:ilvl w:val="0"/>
          <w:numId w:val="2"/>
        </w:numPr>
        <w:spacing w:after="80"/>
      </w:pPr>
      <w:r>
        <w:rPr>
          <w:rFonts w:ascii="Calibri" w:cs="Calibri" w:eastAsia="Calibri" w:hAnsi="Calibri"/>
          <w:color w:val="1A1A1A"/>
          <w:sz w:val="22"/>
          <w:szCs w:val="22"/>
        </w:rPr>
        <w:t xml:space="preserve">Client history and past program knowledge</w:t>
      </w:r>
    </w:p>
    <w:p>
      <w:pPr>
        <w:pStyle w:val="ListParagraph"/>
        <w:numPr>
          <w:ilvl w:val="0"/>
          <w:numId w:val="2"/>
        </w:numPr>
        <w:spacing w:after="80"/>
      </w:pPr>
      <w:r>
        <w:rPr>
          <w:rFonts w:ascii="Calibri" w:cs="Calibri" w:eastAsia="Calibri" w:hAnsi="Calibri"/>
          <w:color w:val="1A1A1A"/>
          <w:sz w:val="22"/>
          <w:szCs w:val="22"/>
        </w:rPr>
        <w:t xml:space="preserve">Competitor activity and experiential benchmarks</w:t>
      </w:r>
    </w:p>
    <w:p>
      <w:pPr>
        <w:pStyle w:val="ListParagraph"/>
        <w:numPr>
          <w:ilvl w:val="0"/>
          <w:numId w:val="2"/>
        </w:numPr>
        <w:spacing w:after="80"/>
      </w:pPr>
      <w:r>
        <w:rPr>
          <w:rFonts w:ascii="Calibri" w:cs="Calibri" w:eastAsia="Calibri" w:hAnsi="Calibri"/>
          <w:color w:val="1A1A1A"/>
          <w:sz w:val="22"/>
          <w:szCs w:val="22"/>
        </w:rPr>
        <w:t xml:space="preserve">Market trends, category patterns, and emerging formats</w:t>
      </w:r>
    </w:p>
    <w:p>
      <w:pPr>
        <w:pStyle w:val="ListParagraph"/>
        <w:numPr>
          <w:ilvl w:val="0"/>
          <w:numId w:val="2"/>
        </w:numPr>
        <w:spacing w:after="80"/>
      </w:pPr>
      <w:r>
        <w:rPr>
          <w:rFonts w:ascii="Calibri" w:cs="Calibri" w:eastAsia="Calibri" w:hAnsi="Calibri"/>
          <w:color w:val="1A1A1A"/>
          <w:sz w:val="22"/>
          <w:szCs w:val="22"/>
        </w:rPr>
        <w:t xml:space="preserve">Prior campaign learnings and results</w:t>
      </w:r>
    </w:p>
    <w:p>
      <w:pPr>
        <w:spacing w:after="160"/>
      </w:pPr>
      <w:r>
        <w:rPr>
          <w:rFonts w:ascii="Calibri" w:cs="Calibri" w:eastAsia="Calibri" w:hAnsi="Calibri"/>
          <w:color w:val="1A1A1A"/>
          <w:sz w:val="22"/>
          <w:szCs w:val="22"/>
        </w:rPr>
        <w:t xml:space="preserve">This shifts ideation away from isolated inspiration and toward better-informed creative thinking.</w:t>
      </w:r>
    </w:p>
    <w:p>
      <w:pPr>
        <w:spacing w:after="80" w:before="200"/>
      </w:pPr>
      <w:r>
        <w:rPr>
          <w:rFonts w:ascii="Georgia" w:cs="Georgia" w:eastAsia="Georgia" w:hAnsi="Georgia"/>
          <w:b/>
          <w:bCs/>
          <w:color w:val="2C5282"/>
          <w:sz w:val="22"/>
          <w:szCs w:val="22"/>
        </w:rPr>
        <w:t xml:space="preserve">Creative Memory</w:t>
      </w:r>
    </w:p>
    <w:p>
      <w:pPr>
        <w:spacing w:after="160"/>
      </w:pPr>
      <w:r>
        <w:rPr>
          <w:rFonts w:ascii="Calibri" w:cs="Calibri" w:eastAsia="Calibri" w:hAnsi="Calibri"/>
          <w:color w:val="1A1A1A"/>
          <w:sz w:val="22"/>
          <w:szCs w:val="22"/>
        </w:rPr>
        <w:t xml:space="preserve">Without a backbone, ideas live in people, decks, folders, and scattered files. With a backbone, the organization gains searchable archives of concepts, builds, and proposals; visibility into previous ideas for similar clients or sectors; and a reusable body of intellectual and creative work. This reduces reinvention and strengthens continuity across teams.</w:t>
      </w:r>
    </w:p>
    <w:p>
      <w:pPr>
        <w:spacing w:after="80" w:before="200"/>
      </w:pPr>
      <w:r>
        <w:rPr>
          <w:rFonts w:ascii="Georgia" w:cs="Georgia" w:eastAsia="Georgia" w:hAnsi="Georgia"/>
          <w:b/>
          <w:bCs/>
          <w:color w:val="2C5282"/>
          <w:sz w:val="22"/>
          <w:szCs w:val="22"/>
        </w:rPr>
        <w:t xml:space="preserve">Proposal Acceleration</w:t>
      </w:r>
    </w:p>
    <w:p>
      <w:pPr>
        <w:spacing w:after="160"/>
      </w:pPr>
      <w:r>
        <w:rPr>
          <w:rFonts w:ascii="Calibri" w:cs="Calibri" w:eastAsia="Calibri" w:hAnsi="Calibri"/>
          <w:color w:val="1A1A1A"/>
          <w:sz w:val="22"/>
          <w:szCs w:val="22"/>
        </w:rPr>
        <w:t xml:space="preserve">A major value unlock in Create is speed. The backbone helps teams respond to opportunities faster, assemble proposals using past materials and pricing logic, build early concepts with stronger grounding, and shorten the time between brief and first strategic output. The business can think faster, propose faster, and generate more ideas.</w:t>
      </w:r>
    </w:p>
    <w:p>
      <w:pPr>
        <w:spacing w:after="80" w:before="200"/>
      </w:pPr>
      <w:r>
        <w:rPr>
          <w:rFonts w:ascii="Georgia" w:cs="Georgia" w:eastAsia="Georgia" w:hAnsi="Georgia"/>
          <w:b/>
          <w:bCs/>
          <w:color w:val="2C5282"/>
          <w:sz w:val="22"/>
          <w:szCs w:val="22"/>
        </w:rPr>
        <w:t xml:space="preserve">Better Forecasting During Ideation</w:t>
      </w:r>
    </w:p>
    <w:p>
      <w:pPr>
        <w:spacing w:after="160"/>
      </w:pPr>
      <w:r>
        <w:rPr>
          <w:rFonts w:ascii="Calibri" w:cs="Calibri" w:eastAsia="Calibri" w:hAnsi="Calibri"/>
          <w:color w:val="1A1A1A"/>
          <w:sz w:val="22"/>
          <w:szCs w:val="22"/>
        </w:rPr>
        <w:t xml:space="preserve">The strongest ideas are not only exciting — they are also feasible. The backbone brings early visibility into approximate production complexity, likely resource intensity, delivery implications, and whether similar components or assets already exist. This creates a better link between creative ambition and operational reality.</w:t>
      </w:r>
    </w:p>
    <w:p>
      <w:pPr>
        <w:spacing w:after="80" w:before="200"/>
      </w:pPr>
      <w:r>
        <w:rPr>
          <w:rFonts w:ascii="Georgia" w:cs="Georgia" w:eastAsia="Georgia" w:hAnsi="Georgia"/>
          <w:b/>
          <w:bCs/>
          <w:color w:val="2C5282"/>
          <w:sz w:val="22"/>
          <w:szCs w:val="22"/>
        </w:rPr>
        <w:t xml:space="preserve">AI-Assisted Ideation</w:t>
      </w:r>
    </w:p>
    <w:p>
      <w:pPr>
        <w:spacing w:after="160"/>
      </w:pPr>
      <w:r>
        <w:rPr>
          <w:rFonts w:ascii="Calibri" w:cs="Calibri" w:eastAsia="Calibri" w:hAnsi="Calibri"/>
          <w:color w:val="1A1A1A"/>
          <w:sz w:val="22"/>
          <w:szCs w:val="22"/>
        </w:rPr>
        <w:t xml:space="preserve">AI matters here, but as an accelerator inside a broader technology foundation. Potential value includes concept expansion, reference generation, draft narrative support, alternative routes for creative exploration, and faster synthesis of market and client inputs. The point is not automated creativity, but augmented creative velocity.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E8F0FE" w:sz="0"/>
              <w:left w:val="single" w:color="2C5282" w:sz="12"/>
              <w:bottom w:val="none" w:color="E8F0FE" w:sz="0"/>
              <w:right w:val="none" w:color="E8F0FE" w:sz="0"/>
            </w:tcBorders>
            <w:shd w:fill="E8F0FE" w:val="clear"/>
            <w:tcMar>
              <w:top w:type="dxa" w:w="120"/>
              <w:left w:type="dxa" w:w="200"/>
              <w:bottom w:type="dxa" w:w="120"/>
              <w:right w:type="dxa" w:w="200"/>
            </w:tcMar>
          </w:tcPr>
          <w:p>
            <w:pPr>
              <w:spacing w:after="60"/>
            </w:pPr>
            <w:r>
              <w:rPr>
                <w:rFonts w:ascii="Calibri" w:cs="Calibri" w:eastAsia="Calibri" w:hAnsi="Calibri"/>
                <w:b/>
                <w:bCs/>
                <w:color w:val="2C5282"/>
                <w:spacing w:val="40"/>
                <w:sz w:val="14"/>
                <w:szCs w:val="14"/>
              </w:rPr>
              <w:t xml:space="preserve">CREATE OUTCOME</w:t>
            </w:r>
          </w:p>
          <w:p>
            <w:r>
              <w:rPr>
                <w:rFonts w:ascii="Calibri" w:cs="Calibri" w:eastAsia="Calibri" w:hAnsi="Calibri"/>
                <w:color w:val="1A1A1A"/>
                <w:sz w:val="20"/>
                <w:szCs w:val="20"/>
              </w:rPr>
              <w:t xml:space="preserve">CREATE becomes: more informed, faster, more reusable, more grounded in reality, and more capable of generating quality ideas at speed.</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5D5" w:sz="1"/>
              <w:left w:val="single" w:color="D5D5D5" w:sz="1"/>
              <w:bottom w:val="single" w:color="1A1A1A" w:sz="4"/>
              <w:right w:val="single" w:color="D5D5D5" w:sz="1"/>
            </w:tcBorders>
            <w:shd w:fill="F4F3F0" w:val="clear"/>
            <w:tcMar>
              <w:top w:type="dxa" w:w="80"/>
              <w:left w:type="dxa" w:w="120"/>
              <w:bottom w:type="dxa" w:w="80"/>
              <w:right w:type="dxa" w:w="120"/>
            </w:tcMar>
          </w:tcPr>
          <w:p>
            <w:r>
              <w:rPr>
                <w:rFonts w:ascii="Calibri" w:cs="Calibri" w:eastAsia="Calibri" w:hAnsi="Calibri"/>
                <w:b/>
                <w:bCs/>
                <w:color w:val="5C5C5C"/>
                <w:spacing w:val="30"/>
                <w:sz w:val="16"/>
                <w:szCs w:val="16"/>
              </w:rPr>
              <w:t xml:space="preserve">WITHOUT BACKBONE</w:t>
            </w:r>
          </w:p>
        </w:tc>
        <w:tc>
          <w:tcPr>
            <w:tcW w:type="dxa" w:w="4680"/>
            <w:tcBorders>
              <w:top w:val="single" w:color="D5D5D5" w:sz="1"/>
              <w:left w:val="single" w:color="D5D5D5" w:sz="1"/>
              <w:bottom w:val="single" w:color="1A1A1A" w:sz="4"/>
              <w:right w:val="single" w:color="D5D5D5" w:sz="1"/>
            </w:tcBorders>
            <w:shd w:fill="EDEDFC" w:val="clear"/>
            <w:tcMar>
              <w:top w:type="dxa" w:w="80"/>
              <w:left w:type="dxa" w:w="120"/>
              <w:bottom w:type="dxa" w:w="80"/>
              <w:right w:type="dxa" w:w="120"/>
            </w:tcMar>
          </w:tcPr>
          <w:p>
            <w:r>
              <w:rPr>
                <w:rFonts w:ascii="Calibri" w:cs="Calibri" w:eastAsia="Calibri" w:hAnsi="Calibri"/>
                <w:b/>
                <w:bCs/>
                <w:color w:val="7A7AE6"/>
                <w:spacing w:val="30"/>
                <w:sz w:val="16"/>
                <w:szCs w:val="16"/>
              </w:rPr>
              <w:t xml:space="preserve">WITH BACKBONE</w:t>
            </w:r>
          </w:p>
        </w:tc>
      </w:tr>
      <w:tr>
        <w:tc>
          <w:tcPr>
            <w:tcW w:type="dxa" w:w="468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Calibri" w:cs="Calibri" w:eastAsia="Calibri" w:hAnsi="Calibri"/>
                <w:color w:val="5C5C5C"/>
                <w:sz w:val="20"/>
                <w:szCs w:val="20"/>
              </w:rPr>
              <w:t xml:space="preserve">Ideas start from scratch, proposals assembled manually, institutional knowledge lives in people’s heads</w:t>
            </w:r>
          </w:p>
        </w:tc>
        <w:tc>
          <w:tcPr>
            <w:tcW w:type="dxa" w:w="468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Calibri" w:cs="Calibri" w:eastAsia="Calibri" w:hAnsi="Calibri"/>
                <w:color w:val="1A1A1A"/>
                <w:sz w:val="20"/>
                <w:szCs w:val="20"/>
              </w:rPr>
              <w:t xml:space="preserve">Institutional memory searchable, proposals accelerated, creative ambition grounded in operational reality</w:t>
            </w:r>
          </w:p>
        </w:tc>
      </w:tr>
    </w:tbl>
    <w:p>
      <w:pPr>
        <w:spacing w:after="200"/>
      </w:pPr>
    </w:p>
    <w:p>
      <w:r>
        <w:br w:type="page"/>
      </w:r>
    </w:p>
    <w:p>
      <w:pPr>
        <w:spacing w:after="60" w:before="100"/>
      </w:pPr>
      <w:r>
        <w:rPr>
          <w:rFonts w:ascii="Calibri" w:cs="Calibri" w:eastAsia="Calibri" w:hAnsi="Calibri"/>
          <w:b/>
          <w:bCs/>
          <w:color w:val="2A7D4F"/>
          <w:spacing w:val="60"/>
          <w:sz w:val="16"/>
          <w:szCs w:val="16"/>
        </w:rPr>
        <w:t xml:space="preserve">BUILD — DIGITAL EXPERIENCES &amp; FABRICATION</w:t>
      </w:r>
    </w:p>
    <w:p>
      <w:pPr>
        <w:pStyle w:val="Heading2"/>
      </w:pPr>
      <w:r>
        <w:t xml:space="preserve">BUILD</w:t>
      </w:r>
    </w:p>
    <w:p>
      <w:pPr>
        <w:spacing w:after="40"/>
      </w:pPr>
    </w:p>
    <w:p>
      <w:pPr>
        <w:spacing w:after="160"/>
      </w:pPr>
      <w:r>
        <w:rPr>
          <w:rFonts w:ascii="Calibri" w:cs="Calibri" w:eastAsia="Calibri" w:hAnsi="Calibri"/>
          <w:color w:val="5C5C5C"/>
          <w:sz w:val="22"/>
          <w:szCs w:val="22"/>
        </w:rPr>
        <w:t xml:space="preserve">The backbone helps great ideas become buildable, scalable, and operationally viable.</w:t>
      </w:r>
    </w:p>
    <w:p>
      <w:pPr>
        <w:spacing w:after="160"/>
      </w:pPr>
      <w:r>
        <w:rPr>
          <w:rFonts w:ascii="Calibri" w:cs="Calibri" w:eastAsia="Calibri" w:hAnsi="Calibri"/>
          <w:color w:val="1A1A1A"/>
          <w:sz w:val="22"/>
          <w:szCs w:val="22"/>
        </w:rPr>
        <w:t xml:space="preserve">In the Build layer, the backbone connects concept to production. This is where the business translates ideas into things that can actually be made, configured, integrated, shipped, and deployed. It’s Taylor’s operational core — and it’s where the biggest efficiency gaps live.</w:t>
      </w:r>
    </w:p>
    <w:p>
      <w:pPr>
        <w:spacing w:after="60"/>
      </w:pPr>
    </w:p>
    <w:p>
      <w:pPr>
        <w:spacing w:after="80" w:before="200"/>
      </w:pPr>
      <w:r>
        <w:rPr>
          <w:rFonts w:ascii="Georgia" w:cs="Georgia" w:eastAsia="Georgia" w:hAnsi="Georgia"/>
          <w:b/>
          <w:bCs/>
          <w:color w:val="2A7D4F"/>
          <w:sz w:val="22"/>
          <w:szCs w:val="22"/>
        </w:rPr>
        <w:t xml:space="preserve">Design-to-Build Continuity</w:t>
      </w:r>
    </w:p>
    <w:p>
      <w:pPr>
        <w:spacing w:after="160"/>
      </w:pPr>
      <w:r>
        <w:rPr>
          <w:rFonts w:ascii="Calibri" w:cs="Calibri" w:eastAsia="Calibri" w:hAnsi="Calibri"/>
          <w:color w:val="1A1A1A"/>
          <w:sz w:val="22"/>
          <w:szCs w:val="22"/>
        </w:rPr>
        <w:t xml:space="preserve">One of the biggest friction points in complex project businesses is the handoff between creative intent and production reality. The backbone enables continuity between design outputs and production inputs, shared documentation across creative, digital, and fabrication teams, clearer specifications with less interpretation loss, and stronger alignment between what is imagined and what is actually buildable. This reduces downstream confusion and rework.</w:t>
      </w:r>
    </w:p>
    <w:p>
      <w:pPr>
        <w:spacing w:after="80" w:before="200"/>
      </w:pPr>
      <w:r>
        <w:rPr>
          <w:rFonts w:ascii="Georgia" w:cs="Georgia" w:eastAsia="Georgia" w:hAnsi="Georgia"/>
          <w:b/>
          <w:bCs/>
          <w:color w:val="2A7D4F"/>
          <w:sz w:val="22"/>
          <w:szCs w:val="22"/>
        </w:rPr>
        <w:t xml:space="preserve">Asset Intelligence</w:t>
      </w:r>
    </w:p>
    <w:p>
      <w:pPr>
        <w:spacing w:after="160"/>
      </w:pPr>
      <w:r>
        <w:rPr>
          <w:rFonts w:ascii="Calibri" w:cs="Calibri" w:eastAsia="Calibri" w:hAnsi="Calibri"/>
          <w:color w:val="1A1A1A"/>
          <w:sz w:val="22"/>
          <w:szCs w:val="22"/>
        </w:rPr>
        <w:t xml:space="preserve">The backbone creates visibility into what the business already owns, has built, or can reuse: reusable scenic elements, prior fabrication components, historic build references, digital assets connected to physical experiences, and material precedents. Instead of starting from zero, teams can build from memory.</w:t>
      </w:r>
    </w:p>
    <w:p>
      <w:pPr>
        <w:spacing w:after="80" w:before="200"/>
      </w:pPr>
      <w:r>
        <w:rPr>
          <w:rFonts w:ascii="Georgia" w:cs="Georgia" w:eastAsia="Georgia" w:hAnsi="Georgia"/>
          <w:b/>
          <w:bCs/>
          <w:color w:val="2A7D4F"/>
          <w:sz w:val="22"/>
          <w:szCs w:val="22"/>
        </w:rPr>
        <w:t xml:space="preserve">Materials &amp; Component Visibility</w:t>
      </w:r>
    </w:p>
    <w:p>
      <w:pPr>
        <w:spacing w:after="160"/>
      </w:pPr>
      <w:r>
        <w:rPr>
          <w:rFonts w:ascii="Calibri" w:cs="Calibri" w:eastAsia="Calibri" w:hAnsi="Calibri"/>
          <w:color w:val="1A1A1A"/>
          <w:sz w:val="22"/>
          <w:szCs w:val="22"/>
        </w:rPr>
        <w:t xml:space="preserve">The backbone creates a stronger picture of what is needed to build and what is already available — supporting material planning, component tracking, procurement coordination, and supplier-related visibility. This reduces unnecessary friction and helps control costs and timing.</w:t>
      </w:r>
    </w:p>
    <w:p>
      <w:pPr>
        <w:spacing w:after="80" w:before="200"/>
      </w:pPr>
      <w:r>
        <w:rPr>
          <w:rFonts w:ascii="Georgia" w:cs="Georgia" w:eastAsia="Georgia" w:hAnsi="Georgia"/>
          <w:b/>
          <w:bCs/>
          <w:color w:val="2A7D4F"/>
          <w:sz w:val="22"/>
          <w:szCs w:val="22"/>
        </w:rPr>
        <w:t xml:space="preserve">Capacity &amp; Production Forecasting</w:t>
      </w:r>
    </w:p>
    <w:p>
      <w:pPr>
        <w:spacing w:after="160"/>
      </w:pPr>
      <w:r>
        <w:rPr>
          <w:rFonts w:ascii="Calibri" w:cs="Calibri" w:eastAsia="Calibri" w:hAnsi="Calibri"/>
          <w:color w:val="1A1A1A"/>
          <w:sz w:val="22"/>
          <w:szCs w:val="22"/>
        </w:rPr>
        <w:t xml:space="preserve">A major theme from discovery was the need to better align sales growth with production capacity. The backbone makes it easier to understand current production load, team capacity, likely constraints, timing conflicts across projects, and build implications of incoming pipeline. This is where the business starts moving from reactive production to planned production.</w:t>
      </w:r>
    </w:p>
    <w:p>
      <w:pPr>
        <w:spacing w:after="80" w:before="200"/>
      </w:pPr>
      <w:r>
        <w:rPr>
          <w:rFonts w:ascii="Georgia" w:cs="Georgia" w:eastAsia="Georgia" w:hAnsi="Georgia"/>
          <w:b/>
          <w:bCs/>
          <w:color w:val="2A7D4F"/>
          <w:sz w:val="22"/>
          <w:szCs w:val="22"/>
        </w:rPr>
        <w:t xml:space="preserve">Digital–Physical Integration</w:t>
      </w:r>
    </w:p>
    <w:p>
      <w:pPr>
        <w:spacing w:after="160"/>
      </w:pPr>
      <w:r>
        <w:rPr>
          <w:rFonts w:ascii="Calibri" w:cs="Calibri" w:eastAsia="Calibri" w:hAnsi="Calibri"/>
          <w:color w:val="1A1A1A"/>
          <w:sz w:val="22"/>
          <w:szCs w:val="22"/>
        </w:rPr>
        <w:t xml:space="preserve">Taylor is unusual because Build includes both digital experiences and physical fabrication. The backbone creates alignment across physical environments, interactive experiences, content production, platform integration, and on-site digital behavior. This is a major strategic advantage if connected well.</w:t>
      </w:r>
    </w:p>
    <w:p>
      <w:pPr>
        <w:spacing w:after="80" w:before="200"/>
      </w:pPr>
      <w:r>
        <w:rPr>
          <w:rFonts w:ascii="Georgia" w:cs="Georgia" w:eastAsia="Georgia" w:hAnsi="Georgia"/>
          <w:b/>
          <w:bCs/>
          <w:color w:val="2A7D4F"/>
          <w:sz w:val="22"/>
          <w:szCs w:val="22"/>
        </w:rPr>
        <w:t xml:space="preserve">Cost Intelligence</w:t>
      </w:r>
    </w:p>
    <w:p>
      <w:pPr>
        <w:spacing w:after="160"/>
      </w:pPr>
      <w:r>
        <w:rPr>
          <w:rFonts w:ascii="Calibri" w:cs="Calibri" w:eastAsia="Calibri" w:hAnsi="Calibri"/>
          <w:color w:val="1A1A1A"/>
          <w:sz w:val="22"/>
          <w:szCs w:val="22"/>
        </w:rPr>
        <w:t xml:space="preserve">The backbone improves the ability to estimate and manage cost before problems surface — benchmark against past builds, anticipate cost drivers, understand design decisions with production implications, and price work with better historical reference. Build becomes not just faster, but more commercially informed.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E8F5EE" w:sz="0"/>
              <w:left w:val="single" w:color="2A7D4F" w:sz="12"/>
              <w:bottom w:val="none" w:color="E8F5EE" w:sz="0"/>
              <w:right w:val="none" w:color="E8F5EE" w:sz="0"/>
            </w:tcBorders>
            <w:shd w:fill="E8F5EE" w:val="clear"/>
            <w:tcMar>
              <w:top w:type="dxa" w:w="120"/>
              <w:left w:type="dxa" w:w="200"/>
              <w:bottom w:type="dxa" w:w="120"/>
              <w:right w:type="dxa" w:w="200"/>
            </w:tcMar>
          </w:tcPr>
          <w:p>
            <w:pPr>
              <w:spacing w:after="60"/>
            </w:pPr>
            <w:r>
              <w:rPr>
                <w:rFonts w:ascii="Calibri" w:cs="Calibri" w:eastAsia="Calibri" w:hAnsi="Calibri"/>
                <w:b/>
                <w:bCs/>
                <w:color w:val="2A7D4F"/>
                <w:spacing w:val="40"/>
                <w:sz w:val="14"/>
                <w:szCs w:val="14"/>
              </w:rPr>
              <w:t xml:space="preserve">BUILD OUTCOME</w:t>
            </w:r>
          </w:p>
          <w:p>
            <w:r>
              <w:rPr>
                <w:rFonts w:ascii="Calibri" w:cs="Calibri" w:eastAsia="Calibri" w:hAnsi="Calibri"/>
                <w:color w:val="1A1A1A"/>
                <w:sz w:val="20"/>
                <w:szCs w:val="20"/>
              </w:rPr>
              <w:t xml:space="preserve">BUILD becomes: more coordinated, more predictable, more reusable, more cost-aware, and more connected across digital and physical work.</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5D5" w:sz="1"/>
              <w:left w:val="single" w:color="D5D5D5" w:sz="1"/>
              <w:bottom w:val="single" w:color="1A1A1A" w:sz="4"/>
              <w:right w:val="single" w:color="D5D5D5" w:sz="1"/>
            </w:tcBorders>
            <w:shd w:fill="F4F3F0" w:val="clear"/>
            <w:tcMar>
              <w:top w:type="dxa" w:w="80"/>
              <w:left w:type="dxa" w:w="120"/>
              <w:bottom w:type="dxa" w:w="80"/>
              <w:right w:type="dxa" w:w="120"/>
            </w:tcMar>
          </w:tcPr>
          <w:p>
            <w:r>
              <w:rPr>
                <w:rFonts w:ascii="Calibri" w:cs="Calibri" w:eastAsia="Calibri" w:hAnsi="Calibri"/>
                <w:b/>
                <w:bCs/>
                <w:color w:val="5C5C5C"/>
                <w:spacing w:val="30"/>
                <w:sz w:val="16"/>
                <w:szCs w:val="16"/>
              </w:rPr>
              <w:t xml:space="preserve">WITHOUT BACKBONE</w:t>
            </w:r>
          </w:p>
        </w:tc>
        <w:tc>
          <w:tcPr>
            <w:tcW w:type="dxa" w:w="4680"/>
            <w:tcBorders>
              <w:top w:val="single" w:color="D5D5D5" w:sz="1"/>
              <w:left w:val="single" w:color="D5D5D5" w:sz="1"/>
              <w:bottom w:val="single" w:color="1A1A1A" w:sz="4"/>
              <w:right w:val="single" w:color="D5D5D5" w:sz="1"/>
            </w:tcBorders>
            <w:shd w:fill="EDEDFC" w:val="clear"/>
            <w:tcMar>
              <w:top w:type="dxa" w:w="80"/>
              <w:left w:type="dxa" w:w="120"/>
              <w:bottom w:type="dxa" w:w="80"/>
              <w:right w:type="dxa" w:w="120"/>
            </w:tcMar>
          </w:tcPr>
          <w:p>
            <w:r>
              <w:rPr>
                <w:rFonts w:ascii="Calibri" w:cs="Calibri" w:eastAsia="Calibri" w:hAnsi="Calibri"/>
                <w:b/>
                <w:bCs/>
                <w:color w:val="7A7AE6"/>
                <w:spacing w:val="30"/>
                <w:sz w:val="16"/>
                <w:szCs w:val="16"/>
              </w:rPr>
              <w:t xml:space="preserve">WITH BACKBONE</w:t>
            </w:r>
          </w:p>
        </w:tc>
      </w:tr>
      <w:tr>
        <w:tc>
          <w:tcPr>
            <w:tcW w:type="dxa" w:w="468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Calibri" w:cs="Calibri" w:eastAsia="Calibri" w:hAnsi="Calibri"/>
                <w:color w:val="5C5C5C"/>
                <w:sz w:val="20"/>
                <w:szCs w:val="20"/>
              </w:rPr>
              <w:t xml:space="preserve">Sales sells blind, assets rebuilt because nobody knows they exist, each office runs its own way</w:t>
            </w:r>
          </w:p>
        </w:tc>
        <w:tc>
          <w:tcPr>
            <w:tcW w:type="dxa" w:w="468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Calibri" w:cs="Calibri" w:eastAsia="Calibri" w:hAnsi="Calibri"/>
                <w:color w:val="1A1A1A"/>
                <w:sz w:val="20"/>
                <w:szCs w:val="20"/>
              </w:rPr>
              <w:t xml:space="preserve">Design-to-build continuity, searchable asset inventory, planned production, cost intelligence from history</w:t>
            </w:r>
          </w:p>
        </w:tc>
      </w:tr>
    </w:tbl>
    <w:p>
      <w:pPr>
        <w:spacing w:after="200"/>
      </w:pPr>
    </w:p>
    <w:p>
      <w:r>
        <w:br w:type="page"/>
      </w:r>
    </w:p>
    <w:p>
      <w:pPr>
        <w:spacing w:after="60" w:before="100"/>
      </w:pPr>
      <w:r>
        <w:rPr>
          <w:rFonts w:ascii="Calibri" w:cs="Calibri" w:eastAsia="Calibri" w:hAnsi="Calibri"/>
          <w:b/>
          <w:bCs/>
          <w:color w:val="9A6F1E"/>
          <w:spacing w:val="60"/>
          <w:sz w:val="16"/>
          <w:szCs w:val="16"/>
        </w:rPr>
        <w:t xml:space="preserve">EXECUTE — PROGRAM MANAGEMENT &amp; MEASUREMENT</w:t>
      </w:r>
    </w:p>
    <w:p>
      <w:pPr>
        <w:pStyle w:val="Heading2"/>
      </w:pPr>
      <w:r>
        <w:t xml:space="preserve">EXECUTE</w:t>
      </w:r>
    </w:p>
    <w:p>
      <w:pPr>
        <w:spacing w:after="40"/>
      </w:pPr>
    </w:p>
    <w:p>
      <w:pPr>
        <w:spacing w:after="160"/>
      </w:pPr>
      <w:r>
        <w:rPr>
          <w:rFonts w:ascii="Calibri" w:cs="Calibri" w:eastAsia="Calibri" w:hAnsi="Calibri"/>
          <w:color w:val="5C5C5C"/>
          <w:sz w:val="22"/>
          <w:szCs w:val="22"/>
        </w:rPr>
        <w:t xml:space="preserve">The backbone turns execution from something people discover too late into something they can manage actively.</w:t>
      </w:r>
    </w:p>
    <w:p>
      <w:pPr>
        <w:spacing w:after="160"/>
      </w:pPr>
      <w:r>
        <w:rPr>
          <w:rFonts w:ascii="Calibri" w:cs="Calibri" w:eastAsia="Calibri" w:hAnsi="Calibri"/>
          <w:color w:val="1A1A1A"/>
          <w:sz w:val="22"/>
          <w:szCs w:val="22"/>
        </w:rPr>
        <w:t xml:space="preserve">In the Execute layer, the backbone enables orchestration. This is where complexity peaks, because projects move from internal planning into real-world delivery. It’s also where Taylor’s leadership spends the most time today — often manually.</w:t>
      </w:r>
    </w:p>
    <w:p>
      <w:pPr>
        <w:spacing w:after="60"/>
      </w:pPr>
    </w:p>
    <w:p>
      <w:pPr>
        <w:spacing w:after="80" w:before="200"/>
      </w:pPr>
      <w:r>
        <w:rPr>
          <w:rFonts w:ascii="Georgia" w:cs="Georgia" w:eastAsia="Georgia" w:hAnsi="Georgia"/>
          <w:b/>
          <w:bCs/>
          <w:color w:val="9A6F1E"/>
          <w:sz w:val="22"/>
          <w:szCs w:val="22"/>
        </w:rPr>
        <w:t xml:space="preserve">Project Orchestration</w:t>
      </w:r>
    </w:p>
    <w:p>
      <w:pPr>
        <w:spacing w:after="160"/>
      </w:pPr>
      <w:r>
        <w:rPr>
          <w:rFonts w:ascii="Calibri" w:cs="Calibri" w:eastAsia="Calibri" w:hAnsi="Calibri"/>
          <w:color w:val="1A1A1A"/>
          <w:sz w:val="22"/>
          <w:szCs w:val="22"/>
        </w:rPr>
        <w:t xml:space="preserve">Execution depends on multiple teams, timelines, vendors, dependencies, and deliverables moving together. The backbone helps create centralized project visibility, shared timelines and milestones, better coordination across departments, clearer dependencies and ownership, and stronger alignment between planning and delivery. This is the shift from fragmented execution to connected execution.</w:t>
      </w:r>
    </w:p>
    <w:p>
      <w:pPr>
        <w:spacing w:after="80" w:before="200"/>
      </w:pPr>
      <w:r>
        <w:rPr>
          <w:rFonts w:ascii="Georgia" w:cs="Georgia" w:eastAsia="Georgia" w:hAnsi="Georgia"/>
          <w:b/>
          <w:bCs/>
          <w:color w:val="9A6F1E"/>
          <w:sz w:val="22"/>
          <w:szCs w:val="22"/>
        </w:rPr>
        <w:t xml:space="preserve">Resource Allocation</w:t>
      </w:r>
    </w:p>
    <w:p>
      <w:pPr>
        <w:spacing w:after="160"/>
      </w:pPr>
      <w:r>
        <w:rPr>
          <w:rFonts w:ascii="Calibri" w:cs="Calibri" w:eastAsia="Calibri" w:hAnsi="Calibri"/>
          <w:color w:val="1A1A1A"/>
          <w:sz w:val="22"/>
          <w:szCs w:val="22"/>
        </w:rPr>
        <w:t xml:space="preserve">Execution quality depends on whether the right people and capabilities are available at the right moment. The backbone supports better crew planning, specialist allocation, visibility into team utilization, and cross-project resource balancing. This reduces overload, blind spots, and fire-fighting.</w:t>
      </w:r>
    </w:p>
    <w:p>
      <w:pPr>
        <w:spacing w:after="80" w:before="200"/>
      </w:pPr>
      <w:r>
        <w:rPr>
          <w:rFonts w:ascii="Georgia" w:cs="Georgia" w:eastAsia="Georgia" w:hAnsi="Georgia"/>
          <w:b/>
          <w:bCs/>
          <w:color w:val="9A6F1E"/>
          <w:sz w:val="22"/>
          <w:szCs w:val="22"/>
        </w:rPr>
        <w:t xml:space="preserve">Logistics &amp; Deployment Visibility</w:t>
      </w:r>
    </w:p>
    <w:p>
      <w:pPr>
        <w:spacing w:after="160"/>
      </w:pPr>
      <w:r>
        <w:rPr>
          <w:rFonts w:ascii="Calibri" w:cs="Calibri" w:eastAsia="Calibri" w:hAnsi="Calibri"/>
          <w:color w:val="1A1A1A"/>
          <w:sz w:val="22"/>
          <w:szCs w:val="22"/>
        </w:rPr>
        <w:t xml:space="preserve">In experiential work, execution involves physical movement, deployment, timing, setup, breakdown, and on-site coordination. The backbone improves logistics tracking, deployment readiness, handoff from fabrication to site, installation sequencing, and clarity around what is arriving where and when. This reduces execution risk.</w:t>
      </w:r>
    </w:p>
    <w:p>
      <w:pPr>
        <w:spacing w:after="80" w:before="200"/>
      </w:pPr>
      <w:r>
        <w:rPr>
          <w:rFonts w:ascii="Georgia" w:cs="Georgia" w:eastAsia="Georgia" w:hAnsi="Georgia"/>
          <w:b/>
          <w:bCs/>
          <w:color w:val="9A6F1E"/>
          <w:sz w:val="22"/>
          <w:szCs w:val="22"/>
        </w:rPr>
        <w:t xml:space="preserve">Real-Time Execution Visibility</w:t>
      </w:r>
    </w:p>
    <w:p>
      <w:pPr>
        <w:spacing w:after="160"/>
      </w:pPr>
      <w:r>
        <w:rPr>
          <w:rFonts w:ascii="Calibri" w:cs="Calibri" w:eastAsia="Calibri" w:hAnsi="Calibri"/>
          <w:color w:val="1A1A1A"/>
          <w:sz w:val="22"/>
          <w:szCs w:val="22"/>
        </w:rPr>
        <w:t xml:space="preserve">One of the highest-value outcomes of a backbone is making delivery visible while it is happening. Project status can be monitored more clearly, emerging issues seen earlier, leadership can intervene sooner, and decisions can be made with better information. When execution is visible in a system, leadership doesn’t need to be CC’d on every email to stay informed.</w:t>
      </w:r>
    </w:p>
    <w:p>
      <w:pPr>
        <w:spacing w:after="80" w:before="200"/>
      </w:pPr>
      <w:r>
        <w:rPr>
          <w:rFonts w:ascii="Georgia" w:cs="Georgia" w:eastAsia="Georgia" w:hAnsi="Georgia"/>
          <w:b/>
          <w:bCs/>
          <w:color w:val="9A6F1E"/>
          <w:sz w:val="22"/>
          <w:szCs w:val="22"/>
        </w:rPr>
        <w:t xml:space="preserve">Measurement &amp; Learning</w:t>
      </w:r>
    </w:p>
    <w:p>
      <w:pPr>
        <w:spacing w:after="160"/>
      </w:pPr>
      <w:r>
        <w:rPr>
          <w:rFonts w:ascii="Calibri" w:cs="Calibri" w:eastAsia="Calibri" w:hAnsi="Calibri"/>
          <w:color w:val="1A1A1A"/>
          <w:sz w:val="22"/>
          <w:szCs w:val="22"/>
        </w:rPr>
        <w:t xml:space="preserve">Taylor’s Execute layer includes Measurement — execution does not end at delivery. The backbone captures event outcomes, attendee engagement, lead conversion data, performance patterns across formats, and post-event learnings. This closes the loop between delivery and future strategy.</w:t>
      </w:r>
    </w:p>
    <w:p>
      <w:pPr>
        <w:spacing w:after="80" w:before="200"/>
      </w:pPr>
      <w:r>
        <w:rPr>
          <w:rFonts w:ascii="Georgia" w:cs="Georgia" w:eastAsia="Georgia" w:hAnsi="Georgia"/>
          <w:b/>
          <w:bCs/>
          <w:color w:val="9A6F1E"/>
          <w:sz w:val="22"/>
          <w:szCs w:val="22"/>
        </w:rPr>
        <w:t xml:space="preserve">Continuous Improvement</w:t>
      </w:r>
    </w:p>
    <w:p>
      <w:pPr>
        <w:spacing w:after="160"/>
      </w:pPr>
      <w:r>
        <w:rPr>
          <w:rFonts w:ascii="Calibri" w:cs="Calibri" w:eastAsia="Calibri" w:hAnsi="Calibri"/>
          <w:color w:val="1A1A1A"/>
          <w:sz w:val="22"/>
          <w:szCs w:val="22"/>
        </w:rPr>
        <w:t xml:space="preserve">Once execution data is captured and connected, the business gains something bigger than reporting: a learning system. Each project informs the next. Recurring issues become visible. High-performing formats become identifiable. The company becomes better over time, not just busier.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DF5E6" w:sz="0"/>
              <w:left w:val="single" w:color="9A6F1E" w:sz="12"/>
              <w:bottom w:val="none" w:color="FDF5E6" w:sz="0"/>
              <w:right w:val="none" w:color="FDF5E6" w:sz="0"/>
            </w:tcBorders>
            <w:shd w:fill="FDF5E6" w:val="clear"/>
            <w:tcMar>
              <w:top w:type="dxa" w:w="120"/>
              <w:left w:type="dxa" w:w="200"/>
              <w:bottom w:type="dxa" w:w="120"/>
              <w:right w:type="dxa" w:w="200"/>
            </w:tcMar>
          </w:tcPr>
          <w:p>
            <w:pPr>
              <w:spacing w:after="60"/>
            </w:pPr>
            <w:r>
              <w:rPr>
                <w:rFonts w:ascii="Calibri" w:cs="Calibri" w:eastAsia="Calibri" w:hAnsi="Calibri"/>
                <w:b/>
                <w:bCs/>
                <w:color w:val="9A6F1E"/>
                <w:spacing w:val="40"/>
                <w:sz w:val="14"/>
                <w:szCs w:val="14"/>
              </w:rPr>
              <w:t xml:space="preserve">EXECUTE OUTCOME</w:t>
            </w:r>
          </w:p>
          <w:p>
            <w:r>
              <w:rPr>
                <w:rFonts w:ascii="Calibri" w:cs="Calibri" w:eastAsia="Calibri" w:hAnsi="Calibri"/>
                <w:color w:val="1A1A1A"/>
                <w:sz w:val="20"/>
                <w:szCs w:val="20"/>
              </w:rPr>
              <w:t xml:space="preserve">EXECUTE becomes: more visible, more coordinated, more predictable, more measurable, and more capable of learning over time.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5D5" w:sz="1"/>
              <w:left w:val="single" w:color="D5D5D5" w:sz="1"/>
              <w:bottom w:val="single" w:color="1A1A1A" w:sz="4"/>
              <w:right w:val="single" w:color="D5D5D5" w:sz="1"/>
            </w:tcBorders>
            <w:shd w:fill="F4F3F0" w:val="clear"/>
            <w:tcMar>
              <w:top w:type="dxa" w:w="80"/>
              <w:left w:type="dxa" w:w="120"/>
              <w:bottom w:type="dxa" w:w="80"/>
              <w:right w:type="dxa" w:w="120"/>
            </w:tcMar>
          </w:tcPr>
          <w:p>
            <w:r>
              <w:rPr>
                <w:rFonts w:ascii="Calibri" w:cs="Calibri" w:eastAsia="Calibri" w:hAnsi="Calibri"/>
                <w:b/>
                <w:bCs/>
                <w:color w:val="5C5C5C"/>
                <w:spacing w:val="30"/>
                <w:sz w:val="16"/>
                <w:szCs w:val="16"/>
              </w:rPr>
              <w:t xml:space="preserve">WITHOUT BACKBONE</w:t>
            </w:r>
          </w:p>
        </w:tc>
        <w:tc>
          <w:tcPr>
            <w:tcW w:type="dxa" w:w="4680"/>
            <w:tcBorders>
              <w:top w:val="single" w:color="D5D5D5" w:sz="1"/>
              <w:left w:val="single" w:color="D5D5D5" w:sz="1"/>
              <w:bottom w:val="single" w:color="1A1A1A" w:sz="4"/>
              <w:right w:val="single" w:color="D5D5D5" w:sz="1"/>
            </w:tcBorders>
            <w:shd w:fill="EDEDFC" w:val="clear"/>
            <w:tcMar>
              <w:top w:type="dxa" w:w="80"/>
              <w:left w:type="dxa" w:w="120"/>
              <w:bottom w:type="dxa" w:w="80"/>
              <w:right w:type="dxa" w:w="120"/>
            </w:tcMar>
          </w:tcPr>
          <w:p>
            <w:r>
              <w:rPr>
                <w:rFonts w:ascii="Calibri" w:cs="Calibri" w:eastAsia="Calibri" w:hAnsi="Calibri"/>
                <w:b/>
                <w:bCs/>
                <w:color w:val="7A7AE6"/>
                <w:spacing w:val="30"/>
                <w:sz w:val="16"/>
                <w:szCs w:val="16"/>
              </w:rPr>
              <w:t xml:space="preserve">WITH BACKBONE</w:t>
            </w:r>
          </w:p>
        </w:tc>
      </w:tr>
      <w:tr>
        <w:tc>
          <w:tcPr>
            <w:tcW w:type="dxa" w:w="468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Calibri" w:cs="Calibri" w:eastAsia="Calibri" w:hAnsi="Calibri"/>
                <w:color w:val="5C5C5C"/>
                <w:sz w:val="20"/>
                <w:szCs w:val="20"/>
              </w:rPr>
              <w:t xml:space="preserve">Status via email chains, reactive fire-fighting, post-event learnings lost, no unified view</w:t>
            </w:r>
          </w:p>
        </w:tc>
        <w:tc>
          <w:tcPr>
            <w:tcW w:type="dxa" w:w="468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Calibri" w:cs="Calibri" w:eastAsia="Calibri" w:hAnsi="Calibri"/>
                <w:color w:val="1A1A1A"/>
                <w:sz w:val="20"/>
                <w:szCs w:val="20"/>
              </w:rPr>
              <w:t xml:space="preserve">Real-time visibility, connected execution, organizational learning compounds over time</w:t>
            </w:r>
          </w:p>
        </w:tc>
      </w:tr>
    </w:tbl>
    <w:p>
      <w:pPr>
        <w:spacing w:after="200"/>
      </w:pPr>
    </w:p>
    <w:p>
      <w:r>
        <w:br w:type="page"/>
      </w:r>
    </w:p>
    <w:p>
      <w:pPr>
        <w:spacing w:after="100"/>
      </w:pPr>
      <w:r>
        <w:rPr>
          <w:rFonts w:ascii="Georgia" w:cs="Georgia" w:eastAsia="Georgia" w:hAnsi="Georgia"/>
          <w:b/>
          <w:bCs/>
          <w:color w:val="7A7AE6"/>
          <w:sz w:val="26"/>
          <w:szCs w:val="26"/>
        </w:rPr>
        <w:t xml:space="preserve">Five Dimensions Across Every Phase</w:t>
      </w:r>
    </w:p>
    <w:p>
      <w:pPr>
        <w:spacing w:after="160"/>
      </w:pPr>
      <w:r>
        <w:rPr>
          <w:rFonts w:ascii="Calibri" w:cs="Calibri" w:eastAsia="Calibri" w:hAnsi="Calibri"/>
          <w:color w:val="1A1A1A"/>
          <w:sz w:val="22"/>
          <w:szCs w:val="22"/>
        </w:rPr>
        <w:t xml:space="preserve">The five transformation dimensions — People &amp; Culture, Processes, Tech Integrations, Data, and Compliance — run through every layer of Create, Build, and Execute.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A7D4F" w:sz="10"/>
              <w:bottom w:val="none" w:color="FFFFFF" w:sz="0"/>
              <w:right w:val="none" w:color="FFFFFF" w:sz="0"/>
            </w:tcBorders>
            <w:shd w:fill="E8F5EE" w:val="clear"/>
            <w:tcMar>
              <w:top w:type="dxa" w:w="120"/>
              <w:left w:type="dxa" w:w="200"/>
              <w:bottom w:type="dxa" w:w="120"/>
              <w:right w:type="dxa" w:w="200"/>
            </w:tcMar>
          </w:tcPr>
          <w:p>
            <w:pPr>
              <w:spacing w:after="80"/>
            </w:pPr>
            <w:r>
              <w:rPr>
                <w:rFonts w:ascii="Georgia" w:cs="Georgia" w:eastAsia="Georgia" w:hAnsi="Georgia"/>
                <w:b/>
                <w:bCs/>
                <w:color w:val="2A7D4F"/>
                <w:sz w:val="22"/>
                <w:szCs w:val="22"/>
              </w:rPr>
              <w:t xml:space="preserve">People &amp; Culture</w:t>
            </w:r>
            <w:r>
              <w:rPr>
                <w:rFonts w:ascii="Calibri" w:cs="Calibri" w:eastAsia="Calibri" w:hAnsi="Calibri"/>
                <w:b/>
                <w:bCs/>
                <w:color w:val="2A7D4F"/>
                <w:spacing w:val="40"/>
                <w:sz w:val="12"/>
                <w:szCs w:val="12"/>
              </w:rPr>
              <w:t xml:space="preserve">  DIMENSION</w:t>
            </w:r>
          </w:p>
          <w:p>
            <w:pPr>
              <w:pStyle w:val="ListParagraph"/>
              <w:numPr>
                <w:ilvl w:val="0"/>
                <w:numId w:val="2"/>
              </w:numPr>
              <w:spacing w:after="60"/>
            </w:pPr>
            <w:r>
              <w:rPr>
                <w:rFonts w:ascii="Calibri" w:cs="Calibri" w:eastAsia="Calibri" w:hAnsi="Calibri"/>
                <w:b/>
                <w:bCs/>
                <w:color w:val="1A1A1A"/>
                <w:sz w:val="20"/>
                <w:szCs w:val="20"/>
              </w:rPr>
              <w:t xml:space="preserve">Segmented adoption paths</w:t>
            </w:r>
            <w:r>
              <w:rPr>
                <w:rFonts w:ascii="Calibri" w:cs="Calibri" w:eastAsia="Calibri" w:hAnsi="Calibri"/>
                <w:color w:val="5C5C5C"/>
                <w:sz w:val="20"/>
                <w:szCs w:val="20"/>
              </w:rPr>
              <w:t xml:space="preserve"> — for executives, operations, and creative teams.</w:t>
            </w:r>
          </w:p>
          <w:p>
            <w:pPr>
              <w:pStyle w:val="ListParagraph"/>
              <w:numPr>
                <w:ilvl w:val="0"/>
                <w:numId w:val="2"/>
              </w:numPr>
              <w:spacing w:after="60"/>
            </w:pPr>
            <w:r>
              <w:rPr>
                <w:rFonts w:ascii="Calibri" w:cs="Calibri" w:eastAsia="Calibri" w:hAnsi="Calibri"/>
                <w:b/>
                <w:bCs/>
                <w:color w:val="1A1A1A"/>
                <w:sz w:val="20"/>
                <w:szCs w:val="20"/>
              </w:rPr>
              <w:t xml:space="preserve">Internal champions program</w:t>
            </w:r>
            <w:r>
              <w:rPr>
                <w:rFonts w:ascii="Calibri" w:cs="Calibri" w:eastAsia="Calibri" w:hAnsi="Calibri"/>
                <w:color w:val="5C5C5C"/>
                <w:sz w:val="20"/>
                <w:szCs w:val="20"/>
              </w:rPr>
              <w:t xml:space="preserve"> — 3-5 per department.</w:t>
            </w:r>
          </w:p>
          <w:p>
            <w:pPr>
              <w:pStyle w:val="ListParagraph"/>
              <w:numPr>
                <w:ilvl w:val="0"/>
                <w:numId w:val="2"/>
              </w:numPr>
              <w:spacing w:after="60"/>
            </w:pPr>
            <w:r>
              <w:rPr>
                <w:rFonts w:ascii="Calibri" w:cs="Calibri" w:eastAsia="Calibri" w:hAnsi="Calibri"/>
                <w:b/>
                <w:bCs/>
                <w:color w:val="1A1A1A"/>
                <w:sz w:val="20"/>
                <w:szCs w:val="20"/>
              </w:rPr>
              <w:t xml:space="preserve">Skills development roadmap</w:t>
            </w:r>
            <w:r>
              <w:rPr>
                <w:rFonts w:ascii="Calibri" w:cs="Calibri" w:eastAsia="Calibri" w:hAnsi="Calibri"/>
                <w:color w:val="5C5C5C"/>
                <w:sz w:val="20"/>
                <w:szCs w:val="20"/>
              </w:rPr>
              <w:t xml:space="preserve"> — role-specific, culture-first.</w:t>
            </w:r>
          </w:p>
          <w:p>
            <w:pPr>
              <w:pBdr>
                <w:left w:val="single" w:color="2A7D4F" w:sz="4" w:space="8"/>
              </w:pBdr>
              <w:spacing w:after="0" w:before="80"/>
              <w:ind w:left="200"/>
            </w:pPr>
            <w:r>
              <w:rPr>
                <w:rFonts w:ascii="Calibri" w:cs="Calibri" w:eastAsia="Calibri" w:hAnsi="Calibri"/>
                <w:color w:val="5C5C5C"/>
                <w:sz w:val="19"/>
                <w:szCs w:val="19"/>
              </w:rPr>
              <w:t xml:space="preserve">“Technology changes fast. Culture changes slow. We start with culture.”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C5282" w:sz="10"/>
              <w:bottom w:val="none" w:color="FFFFFF" w:sz="0"/>
              <w:right w:val="none" w:color="FFFFFF" w:sz="0"/>
            </w:tcBorders>
            <w:shd w:fill="E8F0FE" w:val="clear"/>
            <w:tcMar>
              <w:top w:type="dxa" w:w="120"/>
              <w:left w:type="dxa" w:w="200"/>
              <w:bottom w:type="dxa" w:w="120"/>
              <w:right w:type="dxa" w:w="200"/>
            </w:tcMar>
          </w:tcPr>
          <w:p>
            <w:pPr>
              <w:spacing w:after="80"/>
            </w:pPr>
            <w:r>
              <w:rPr>
                <w:rFonts w:ascii="Georgia" w:cs="Georgia" w:eastAsia="Georgia" w:hAnsi="Georgia"/>
                <w:b/>
                <w:bCs/>
                <w:color w:val="2C5282"/>
                <w:sz w:val="22"/>
                <w:szCs w:val="22"/>
              </w:rPr>
              <w:t xml:space="preserve">Processes</w:t>
            </w:r>
            <w:r>
              <w:rPr>
                <w:rFonts w:ascii="Calibri" w:cs="Calibri" w:eastAsia="Calibri" w:hAnsi="Calibri"/>
                <w:b/>
                <w:bCs/>
                <w:color w:val="2C5282"/>
                <w:spacing w:val="40"/>
                <w:sz w:val="12"/>
                <w:szCs w:val="12"/>
              </w:rPr>
              <w:t xml:space="preserve">  DIMENSION</w:t>
            </w:r>
          </w:p>
          <w:p>
            <w:pPr>
              <w:pStyle w:val="ListParagraph"/>
              <w:numPr>
                <w:ilvl w:val="0"/>
                <w:numId w:val="2"/>
              </w:numPr>
              <w:spacing w:after="60"/>
            </w:pPr>
            <w:r>
              <w:rPr>
                <w:rFonts w:ascii="Calibri" w:cs="Calibri" w:eastAsia="Calibri" w:hAnsi="Calibri"/>
                <w:b/>
                <w:bCs/>
                <w:color w:val="1A1A1A"/>
                <w:sz w:val="20"/>
                <w:szCs w:val="20"/>
              </w:rPr>
              <w:t xml:space="preserve">SOP modernization</w:t>
            </w:r>
            <w:r>
              <w:rPr>
                <w:rFonts w:ascii="Calibri" w:cs="Calibri" w:eastAsia="Calibri" w:hAnsi="Calibri"/>
                <w:color w:val="5C5C5C"/>
                <w:sz w:val="20"/>
                <w:szCs w:val="20"/>
              </w:rPr>
              <w:t xml:space="preserve"> — actual workflows, not assumed ones.</w:t>
            </w:r>
          </w:p>
          <w:p>
            <w:pPr>
              <w:pStyle w:val="ListParagraph"/>
              <w:numPr>
                <w:ilvl w:val="0"/>
                <w:numId w:val="2"/>
              </w:numPr>
              <w:spacing w:after="60"/>
            </w:pPr>
            <w:r>
              <w:rPr>
                <w:rFonts w:ascii="Calibri" w:cs="Calibri" w:eastAsia="Calibri" w:hAnsi="Calibri"/>
                <w:b/>
                <w:bCs/>
                <w:color w:val="1A1A1A"/>
                <w:sz w:val="20"/>
                <w:szCs w:val="20"/>
              </w:rPr>
              <w:t xml:space="preserve">Sales-to-production alignment</w:t>
            </w:r>
            <w:r>
              <w:rPr>
                <w:rFonts w:ascii="Calibri" w:cs="Calibri" w:eastAsia="Calibri" w:hAnsi="Calibri"/>
                <w:color w:val="5C5C5C"/>
                <w:sz w:val="20"/>
                <w:szCs w:val="20"/>
              </w:rPr>
              <w:t xml:space="preserve"> — real-time capacity visibility.</w:t>
            </w:r>
          </w:p>
          <w:p>
            <w:pPr>
              <w:pStyle w:val="ListParagraph"/>
              <w:numPr>
                <w:ilvl w:val="0"/>
                <w:numId w:val="2"/>
              </w:numPr>
              <w:spacing w:after="60"/>
            </w:pPr>
            <w:r>
              <w:rPr>
                <w:rFonts w:ascii="Calibri" w:cs="Calibri" w:eastAsia="Calibri" w:hAnsi="Calibri"/>
                <w:b/>
                <w:bCs/>
                <w:color w:val="1A1A1A"/>
                <w:sz w:val="20"/>
                <w:szCs w:val="20"/>
              </w:rPr>
              <w:t xml:space="preserve">Asset management lifecycle</w:t>
            </w:r>
            <w:r>
              <w:rPr>
                <w:rFonts w:ascii="Calibri" w:cs="Calibri" w:eastAsia="Calibri" w:hAnsi="Calibri"/>
                <w:color w:val="5C5C5C"/>
                <w:sz w:val="20"/>
                <w:szCs w:val="20"/>
              </w:rPr>
              <w:t xml:space="preserve"> — cataloging, tracking, reuse-vs-rebuild.</w:t>
            </w:r>
          </w:p>
          <w:p>
            <w:pPr>
              <w:pStyle w:val="ListParagraph"/>
              <w:numPr>
                <w:ilvl w:val="0"/>
                <w:numId w:val="2"/>
              </w:numPr>
              <w:spacing w:after="60"/>
            </w:pPr>
            <w:r>
              <w:rPr>
                <w:rFonts w:ascii="Calibri" w:cs="Calibri" w:eastAsia="Calibri" w:hAnsi="Calibri"/>
                <w:b/>
                <w:bCs/>
                <w:color w:val="1A1A1A"/>
                <w:sz w:val="20"/>
                <w:szCs w:val="20"/>
              </w:rPr>
              <w:t xml:space="preserve">Cross-office standardization</w:t>
            </w:r>
            <w:r>
              <w:rPr>
                <w:rFonts w:ascii="Calibri" w:cs="Calibri" w:eastAsia="Calibri" w:hAnsi="Calibri"/>
                <w:color w:val="5C5C5C"/>
                <w:sz w:val="20"/>
                <w:szCs w:val="20"/>
              </w:rPr>
              <w:t xml:space="preserve"> — Toronto, Boston, Cleveland as one system.</w:t>
            </w:r>
          </w:p>
          <w:p>
            <w:pPr>
              <w:pBdr>
                <w:left w:val="single" w:color="2C5282" w:sz="4" w:space="8"/>
              </w:pBdr>
              <w:spacing w:after="0" w:before="80"/>
              <w:ind w:left="200"/>
            </w:pPr>
            <w:r>
              <w:rPr>
                <w:rFonts w:ascii="Calibri" w:cs="Calibri" w:eastAsia="Calibri" w:hAnsi="Calibri"/>
                <w:color w:val="5C5C5C"/>
                <w:sz w:val="19"/>
                <w:szCs w:val="19"/>
              </w:rPr>
              <w:t xml:space="preserve">“Before automating a process, make sure it’s the right process.”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A7AE6" w:sz="10"/>
              <w:bottom w:val="none" w:color="FFFFFF" w:sz="0"/>
              <w:right w:val="none" w:color="FFFFFF" w:sz="0"/>
            </w:tcBorders>
            <w:shd w:fill="EDEDFC" w:val="clear"/>
            <w:tcMar>
              <w:top w:type="dxa" w:w="120"/>
              <w:left w:type="dxa" w:w="200"/>
              <w:bottom w:type="dxa" w:w="120"/>
              <w:right w:type="dxa" w:w="200"/>
            </w:tcMar>
          </w:tcPr>
          <w:p>
            <w:pPr>
              <w:spacing w:after="80"/>
            </w:pPr>
            <w:r>
              <w:rPr>
                <w:rFonts w:ascii="Georgia" w:cs="Georgia" w:eastAsia="Georgia" w:hAnsi="Georgia"/>
                <w:b/>
                <w:bCs/>
                <w:color w:val="7A7AE6"/>
                <w:sz w:val="22"/>
                <w:szCs w:val="22"/>
              </w:rPr>
              <w:t xml:space="preserve">Tech Integrations</w:t>
            </w:r>
            <w:r>
              <w:rPr>
                <w:rFonts w:ascii="Calibri" w:cs="Calibri" w:eastAsia="Calibri" w:hAnsi="Calibri"/>
                <w:b/>
                <w:bCs/>
                <w:color w:val="7A7AE6"/>
                <w:spacing w:val="40"/>
                <w:sz w:val="12"/>
                <w:szCs w:val="12"/>
              </w:rPr>
              <w:t xml:space="preserve">  DIMENSION</w:t>
            </w:r>
          </w:p>
          <w:p>
            <w:pPr>
              <w:pStyle w:val="ListParagraph"/>
              <w:numPr>
                <w:ilvl w:val="0"/>
                <w:numId w:val="2"/>
              </w:numPr>
              <w:spacing w:after="60"/>
            </w:pPr>
            <w:r>
              <w:rPr>
                <w:rFonts w:ascii="Calibri" w:cs="Calibri" w:eastAsia="Calibri" w:hAnsi="Calibri"/>
                <w:b/>
                <w:bCs/>
                <w:color w:val="1A1A1A"/>
                <w:sz w:val="20"/>
                <w:szCs w:val="20"/>
              </w:rPr>
              <w:t xml:space="preserve">ClickUp optimization + Brain</w:t>
            </w:r>
            <w:r>
              <w:rPr>
                <w:rFonts w:ascii="Calibri" w:cs="Calibri" w:eastAsia="Calibri" w:hAnsi="Calibri"/>
                <w:color w:val="5C5C5C"/>
                <w:sz w:val="20"/>
                <w:szCs w:val="20"/>
              </w:rPr>
              <w:t xml:space="preserve"> — intelligent project assistance.</w:t>
            </w:r>
          </w:p>
          <w:p>
            <w:pPr>
              <w:pStyle w:val="ListParagraph"/>
              <w:numPr>
                <w:ilvl w:val="0"/>
                <w:numId w:val="2"/>
              </w:numPr>
              <w:spacing w:after="60"/>
            </w:pPr>
            <w:r>
              <w:rPr>
                <w:rFonts w:ascii="Calibri" w:cs="Calibri" w:eastAsia="Calibri" w:hAnsi="Calibri"/>
                <w:b/>
                <w:bCs/>
                <w:color w:val="1A1A1A"/>
                <w:sz w:val="20"/>
                <w:szCs w:val="20"/>
              </w:rPr>
              <w:t xml:space="preserve">Gemini integration</w:t>
            </w:r>
            <w:r>
              <w:rPr>
                <w:rFonts w:ascii="Calibri" w:cs="Calibri" w:eastAsia="Calibri" w:hAnsi="Calibri"/>
                <w:color w:val="5C5C5C"/>
                <w:sz w:val="20"/>
                <w:szCs w:val="20"/>
              </w:rPr>
              <w:t xml:space="preserve"> — email triage, meeting notes, drafts.</w:t>
            </w:r>
          </w:p>
          <w:p>
            <w:pPr>
              <w:pStyle w:val="ListParagraph"/>
              <w:numPr>
                <w:ilvl w:val="0"/>
                <w:numId w:val="2"/>
              </w:numPr>
              <w:spacing w:after="60"/>
            </w:pPr>
            <w:r>
              <w:rPr>
                <w:rFonts w:ascii="Calibri" w:cs="Calibri" w:eastAsia="Calibri" w:hAnsi="Calibri"/>
                <w:b/>
                <w:bCs/>
                <w:color w:val="1A1A1A"/>
                <w:sz w:val="20"/>
                <w:szCs w:val="20"/>
              </w:rPr>
              <w:t xml:space="preserve">Automation engine</w:t>
            </w:r>
            <w:r>
              <w:rPr>
                <w:rFonts w:ascii="Calibri" w:cs="Calibri" w:eastAsia="Calibri" w:hAnsi="Calibri"/>
                <w:color w:val="5C5C5C"/>
                <w:sz w:val="20"/>
                <w:szCs w:val="20"/>
              </w:rPr>
              <w:t xml:space="preserve"> — 10–15 priority workflows.</w:t>
            </w:r>
          </w:p>
          <w:p>
            <w:pPr>
              <w:pStyle w:val="ListParagraph"/>
              <w:numPr>
                <w:ilvl w:val="0"/>
                <w:numId w:val="2"/>
              </w:numPr>
              <w:spacing w:after="60"/>
            </w:pPr>
            <w:r>
              <w:rPr>
                <w:rFonts w:ascii="Calibri" w:cs="Calibri" w:eastAsia="Calibri" w:hAnsi="Calibri"/>
                <w:b/>
                <w:bCs/>
                <w:color w:val="1A1A1A"/>
                <w:sz w:val="20"/>
                <w:szCs w:val="20"/>
              </w:rPr>
              <w:t xml:space="preserve">Global Core ↔ Operations</w:t>
            </w:r>
            <w:r>
              <w:rPr>
                <w:rFonts w:ascii="Calibri" w:cs="Calibri" w:eastAsia="Calibri" w:hAnsi="Calibri"/>
                <w:color w:val="5C5C5C"/>
                <w:sz w:val="20"/>
                <w:szCs w:val="20"/>
              </w:rPr>
              <w:t xml:space="preserve"> — M365 + ClickUp connected.</w:t>
            </w:r>
          </w:p>
          <w:p>
            <w:pPr>
              <w:pBdr>
                <w:left w:val="single" w:color="7A7AE6" w:sz="4" w:space="8"/>
              </w:pBdr>
              <w:spacing w:after="0" w:before="80"/>
              <w:ind w:left="200"/>
            </w:pPr>
            <w:r>
              <w:rPr>
                <w:rFonts w:ascii="Calibri" w:cs="Calibri" w:eastAsia="Calibri" w:hAnsi="Calibri"/>
                <w:color w:val="5C5C5C"/>
                <w:sz w:val="19"/>
                <w:szCs w:val="19"/>
              </w:rPr>
              <w:t xml:space="preserve">“The best technology strategy starts with what you already own.”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6F1E" w:sz="10"/>
              <w:bottom w:val="none" w:color="FFFFFF" w:sz="0"/>
              <w:right w:val="none" w:color="FFFFFF" w:sz="0"/>
            </w:tcBorders>
            <w:shd w:fill="FDF5E6" w:val="clear"/>
            <w:tcMar>
              <w:top w:type="dxa" w:w="120"/>
              <w:left w:type="dxa" w:w="200"/>
              <w:bottom w:type="dxa" w:w="120"/>
              <w:right w:type="dxa" w:w="200"/>
            </w:tcMar>
          </w:tcPr>
          <w:p>
            <w:pPr>
              <w:spacing w:after="80"/>
            </w:pPr>
            <w:r>
              <w:rPr>
                <w:rFonts w:ascii="Georgia" w:cs="Georgia" w:eastAsia="Georgia" w:hAnsi="Georgia"/>
                <w:b/>
                <w:bCs/>
                <w:color w:val="9A6F1E"/>
                <w:sz w:val="22"/>
                <w:szCs w:val="22"/>
              </w:rPr>
              <w:t xml:space="preserve">Data</w:t>
            </w:r>
            <w:r>
              <w:rPr>
                <w:rFonts w:ascii="Calibri" w:cs="Calibri" w:eastAsia="Calibri" w:hAnsi="Calibri"/>
                <w:b/>
                <w:bCs/>
                <w:color w:val="9A6F1E"/>
                <w:spacing w:val="40"/>
                <w:sz w:val="12"/>
                <w:szCs w:val="12"/>
              </w:rPr>
              <w:t xml:space="preserve">  DIMENSION</w:t>
            </w:r>
          </w:p>
          <w:p>
            <w:pPr>
              <w:pStyle w:val="ListParagraph"/>
              <w:numPr>
                <w:ilvl w:val="0"/>
                <w:numId w:val="2"/>
              </w:numPr>
              <w:spacing w:after="60"/>
            </w:pPr>
            <w:r>
              <w:rPr>
                <w:rFonts w:ascii="Calibri" w:cs="Calibri" w:eastAsia="Calibri" w:hAnsi="Calibri"/>
                <w:b/>
                <w:bCs/>
                <w:color w:val="1A1A1A"/>
                <w:sz w:val="20"/>
                <w:szCs w:val="20"/>
              </w:rPr>
              <w:t xml:space="preserve">Asset inventory intelligence</w:t>
            </w:r>
            <w:r>
              <w:rPr>
                <w:rFonts w:ascii="Calibri" w:cs="Calibri" w:eastAsia="Calibri" w:hAnsi="Calibri"/>
                <w:color w:val="5C5C5C"/>
                <w:sz w:val="20"/>
                <w:szCs w:val="20"/>
              </w:rPr>
              <w:t xml:space="preserve"> — what exists, where, condition.</w:t>
            </w:r>
          </w:p>
          <w:p>
            <w:pPr>
              <w:pStyle w:val="ListParagraph"/>
              <w:numPr>
                <w:ilvl w:val="0"/>
                <w:numId w:val="2"/>
              </w:numPr>
              <w:spacing w:after="60"/>
            </w:pPr>
            <w:r>
              <w:rPr>
                <w:rFonts w:ascii="Calibri" w:cs="Calibri" w:eastAsia="Calibri" w:hAnsi="Calibri"/>
                <w:b/>
                <w:bCs/>
                <w:color w:val="1A1A1A"/>
                <w:sz w:val="20"/>
                <w:szCs w:val="20"/>
              </w:rPr>
              <w:t xml:space="preserve">Production capacity data</w:t>
            </w:r>
            <w:r>
              <w:rPr>
                <w:rFonts w:ascii="Calibri" w:cs="Calibri" w:eastAsia="Calibri" w:hAnsi="Calibri"/>
                <w:color w:val="5C5C5C"/>
                <w:sz w:val="20"/>
                <w:szCs w:val="20"/>
              </w:rPr>
              <w:t xml:space="preserve"> — real-time visibility for sales.</w:t>
            </w:r>
          </w:p>
          <w:p>
            <w:pPr>
              <w:pStyle w:val="ListParagraph"/>
              <w:numPr>
                <w:ilvl w:val="0"/>
                <w:numId w:val="2"/>
              </w:numPr>
              <w:spacing w:after="60"/>
            </w:pPr>
            <w:r>
              <w:rPr>
                <w:rFonts w:ascii="Calibri" w:cs="Calibri" w:eastAsia="Calibri" w:hAnsi="Calibri"/>
                <w:b/>
                <w:bCs/>
                <w:color w:val="1A1A1A"/>
                <w:sz w:val="20"/>
                <w:szCs w:val="20"/>
              </w:rPr>
              <w:t xml:space="preserve">Executive dashboards</w:t>
            </w:r>
            <w:r>
              <w:rPr>
                <w:rFonts w:ascii="Calibri" w:cs="Calibri" w:eastAsia="Calibri" w:hAnsi="Calibri"/>
                <w:color w:val="5C5C5C"/>
                <w:sz w:val="20"/>
                <w:szCs w:val="20"/>
              </w:rPr>
              <w:t xml:space="preserve"> — unified operational view.</w:t>
            </w:r>
          </w:p>
          <w:p>
            <w:pPr>
              <w:pStyle w:val="ListParagraph"/>
              <w:numPr>
                <w:ilvl w:val="0"/>
                <w:numId w:val="2"/>
              </w:numPr>
              <w:spacing w:after="60"/>
            </w:pPr>
            <w:r>
              <w:rPr>
                <w:rFonts w:ascii="Calibri" w:cs="Calibri" w:eastAsia="Calibri" w:hAnsi="Calibri"/>
                <w:b/>
                <w:bCs/>
                <w:color w:val="1A1A1A"/>
                <w:sz w:val="20"/>
                <w:szCs w:val="20"/>
              </w:rPr>
              <w:t xml:space="preserve">Performance feedback loops</w:t>
            </w:r>
            <w:r>
              <w:rPr>
                <w:rFonts w:ascii="Calibri" w:cs="Calibri" w:eastAsia="Calibri" w:hAnsi="Calibri"/>
                <w:color w:val="5C5C5C"/>
                <w:sz w:val="20"/>
                <w:szCs w:val="20"/>
              </w:rPr>
              <w:t xml:space="preserve"> — closing the Create→Build→Execute cycle.</w:t>
            </w:r>
          </w:p>
          <w:p>
            <w:pPr>
              <w:pBdr>
                <w:left w:val="single" w:color="9A6F1E" w:sz="4" w:space="8"/>
              </w:pBdr>
              <w:spacing w:after="0" w:before="80"/>
              <w:ind w:left="200"/>
            </w:pPr>
            <w:r>
              <w:rPr>
                <w:rFonts w:ascii="Calibri" w:cs="Calibri" w:eastAsia="Calibri" w:hAnsi="Calibri"/>
                <w:color w:val="5C5C5C"/>
                <w:sz w:val="19"/>
                <w:szCs w:val="19"/>
              </w:rPr>
              <w:t xml:space="preserve">“You can’t optimize what you can’t measure.”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0"/>
              <w:bottom w:val="none" w:color="FFFFFF" w:sz="0"/>
              <w:right w:val="none" w:color="FFFFFF" w:sz="0"/>
            </w:tcBorders>
            <w:shd w:fill="FDEAEA" w:val="clear"/>
            <w:tcMar>
              <w:top w:type="dxa" w:w="120"/>
              <w:left w:type="dxa" w:w="200"/>
              <w:bottom w:type="dxa" w:w="120"/>
              <w:right w:type="dxa" w:w="200"/>
            </w:tcMar>
          </w:tcPr>
          <w:p>
            <w:pPr>
              <w:spacing w:after="80"/>
            </w:pPr>
            <w:r>
              <w:rPr>
                <w:rFonts w:ascii="Georgia" w:cs="Georgia" w:eastAsia="Georgia" w:hAnsi="Georgia"/>
                <w:b/>
                <w:bCs/>
                <w:color w:val="C0392B"/>
                <w:sz w:val="22"/>
                <w:szCs w:val="22"/>
              </w:rPr>
              <w:t xml:space="preserve">Compliance</w:t>
            </w:r>
            <w:r>
              <w:rPr>
                <w:rFonts w:ascii="Calibri" w:cs="Calibri" w:eastAsia="Calibri" w:hAnsi="Calibri"/>
                <w:b/>
                <w:bCs/>
                <w:color w:val="C0392B"/>
                <w:spacing w:val="40"/>
                <w:sz w:val="12"/>
                <w:szCs w:val="12"/>
              </w:rPr>
              <w:t xml:space="preserve">  DIMENSION</w:t>
            </w:r>
          </w:p>
          <w:p>
            <w:pPr>
              <w:pStyle w:val="ListParagraph"/>
              <w:numPr>
                <w:ilvl w:val="0"/>
                <w:numId w:val="2"/>
              </w:numPr>
              <w:spacing w:after="60"/>
            </w:pPr>
            <w:r>
              <w:rPr>
                <w:rFonts w:ascii="Calibri" w:cs="Calibri" w:eastAsia="Calibri" w:hAnsi="Calibri"/>
                <w:b/>
                <w:bCs/>
                <w:color w:val="1A1A1A"/>
                <w:sz w:val="20"/>
                <w:szCs w:val="20"/>
              </w:rPr>
              <w:t xml:space="preserve">AI governance policy</w:t>
            </w:r>
            <w:r>
              <w:rPr>
                <w:rFonts w:ascii="Calibri" w:cs="Calibri" w:eastAsia="Calibri" w:hAnsi="Calibri"/>
                <w:color w:val="5C5C5C"/>
                <w:sz w:val="20"/>
                <w:szCs w:val="20"/>
              </w:rPr>
              <w:t xml:space="preserve"> — approved tools, data rules, guardrails.</w:t>
            </w:r>
          </w:p>
          <w:p>
            <w:pPr>
              <w:pStyle w:val="ListParagraph"/>
              <w:numPr>
                <w:ilvl w:val="0"/>
                <w:numId w:val="2"/>
              </w:numPr>
              <w:spacing w:after="60"/>
            </w:pPr>
            <w:r>
              <w:rPr>
                <w:rFonts w:ascii="Calibri" w:cs="Calibri" w:eastAsia="Calibri" w:hAnsi="Calibri"/>
                <w:b/>
                <w:bCs/>
                <w:color w:val="1A1A1A"/>
                <w:sz w:val="20"/>
                <w:szCs w:val="20"/>
              </w:rPr>
              <w:t xml:space="preserve">Data handling standards</w:t>
            </w:r>
            <w:r>
              <w:rPr>
                <w:rFonts w:ascii="Calibri" w:cs="Calibri" w:eastAsia="Calibri" w:hAnsi="Calibri"/>
                <w:color w:val="5C5C5C"/>
                <w:sz w:val="20"/>
                <w:szCs w:val="20"/>
              </w:rPr>
              <w:t xml:space="preserve"> — client IP, internal IP, vendor data.</w:t>
            </w:r>
          </w:p>
          <w:p>
            <w:pPr>
              <w:pStyle w:val="ListParagraph"/>
              <w:numPr>
                <w:ilvl w:val="0"/>
                <w:numId w:val="2"/>
              </w:numPr>
              <w:spacing w:after="60"/>
            </w:pPr>
            <w:r>
              <w:rPr>
                <w:rFonts w:ascii="Calibri" w:cs="Calibri" w:eastAsia="Calibri" w:hAnsi="Calibri"/>
                <w:b/>
                <w:bCs/>
                <w:color w:val="1A1A1A"/>
                <w:sz w:val="20"/>
                <w:szCs w:val="20"/>
              </w:rPr>
              <w:t xml:space="preserve">IP protection strategy</w:t>
            </w:r>
            <w:r>
              <w:rPr>
                <w:rFonts w:ascii="Calibri" w:cs="Calibri" w:eastAsia="Calibri" w:hAnsi="Calibri"/>
                <w:color w:val="5C5C5C"/>
                <w:sz w:val="20"/>
                <w:szCs w:val="20"/>
              </w:rPr>
              <w:t xml:space="preserve"> — protecting what makes Taylor valuable.</w:t>
            </w:r>
          </w:p>
          <w:p>
            <w:pPr>
              <w:pStyle w:val="ListParagraph"/>
              <w:numPr>
                <w:ilvl w:val="0"/>
                <w:numId w:val="2"/>
              </w:numPr>
              <w:spacing w:after="60"/>
            </w:pPr>
            <w:r>
              <w:rPr>
                <w:rFonts w:ascii="Calibri" w:cs="Calibri" w:eastAsia="Calibri" w:hAnsi="Calibri"/>
                <w:b/>
                <w:bCs/>
                <w:color w:val="1A1A1A"/>
                <w:sz w:val="20"/>
                <w:szCs w:val="20"/>
              </w:rPr>
              <w:t xml:space="preserve">Regulatory readiness</w:t>
            </w:r>
            <w:r>
              <w:rPr>
                <w:rFonts w:ascii="Calibri" w:cs="Calibri" w:eastAsia="Calibri" w:hAnsi="Calibri"/>
                <w:color w:val="5C5C5C"/>
                <w:sz w:val="20"/>
                <w:szCs w:val="20"/>
              </w:rPr>
              <w:t xml:space="preserve"> — pharma, healthcare client requirements.</w:t>
            </w:r>
          </w:p>
          <w:p>
            <w:pPr>
              <w:pBdr>
                <w:left w:val="single" w:color="C0392B" w:sz="4" w:space="8"/>
              </w:pBdr>
              <w:spacing w:after="0" w:before="80"/>
              <w:ind w:left="200"/>
            </w:pPr>
            <w:r>
              <w:rPr>
                <w:rFonts w:ascii="Calibri" w:cs="Calibri" w:eastAsia="Calibri" w:hAnsi="Calibri"/>
                <w:color w:val="5C5C5C"/>
                <w:sz w:val="19"/>
                <w:szCs w:val="19"/>
              </w:rPr>
              <w:t xml:space="preserve">“Innovation without guardrails is a liability.”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EDEDFC" w:sz="0"/>
              <w:left w:val="single" w:color="7A7AE6" w:sz="12"/>
              <w:bottom w:val="none" w:color="EDEDFC" w:sz="0"/>
              <w:right w:val="none" w:color="EDEDFC" w:sz="0"/>
            </w:tcBorders>
            <w:shd w:fill="EDEDFC" w:val="clear"/>
            <w:tcMar>
              <w:top w:type="dxa" w:w="120"/>
              <w:left w:type="dxa" w:w="200"/>
              <w:bottom w:type="dxa" w:w="120"/>
              <w:right w:type="dxa" w:w="200"/>
            </w:tcMar>
          </w:tcPr>
          <w:p>
            <w:pPr>
              <w:spacing w:after="60"/>
            </w:pPr>
            <w:r>
              <w:rPr>
                <w:rFonts w:ascii="Calibri" w:cs="Calibri" w:eastAsia="Calibri" w:hAnsi="Calibri"/>
                <w:b/>
                <w:bCs/>
                <w:color w:val="7A7AE6"/>
                <w:spacing w:val="40"/>
                <w:sz w:val="14"/>
                <w:szCs w:val="14"/>
              </w:rPr>
              <w:t xml:space="preserve">TRANSFORMATION OUTCOME</w:t>
            </w:r>
          </w:p>
          <w:p>
            <w:r>
              <w:rPr>
                <w:rFonts w:ascii="Calibri" w:cs="Calibri" w:eastAsia="Calibri" w:hAnsi="Calibri"/>
                <w:color w:val="1A1A1A"/>
                <w:sz w:val="20"/>
                <w:szCs w:val="20"/>
              </w:rPr>
              <w:t xml:space="preserve">Five dimensions. Three phases. One backbone. The Digital Backbone makes Taylor more informed in Create, more coordinated in Build, and more governed in Execute. It doesn’t add complexity — it removes the friction that 95 years of organic growth naturally created.</w:t>
            </w:r>
          </w:p>
        </w:tc>
      </w:tr>
    </w:tbl>
    <w:p>
      <w:r>
        <w:br w:type="page"/>
      </w:r>
    </w:p>
    <w:p>
      <w:pPr>
        <w:spacing w:after="60" w:before="100"/>
      </w:pPr>
      <w:r>
        <w:rPr>
          <w:rFonts w:ascii="Calibri" w:cs="Calibri" w:eastAsia="Calibri" w:hAnsi="Calibri"/>
          <w:b/>
          <w:bCs/>
          <w:color w:val="7A7AE6"/>
          <w:spacing w:val="60"/>
          <w:sz w:val="16"/>
          <w:szCs w:val="16"/>
        </w:rPr>
        <w:t xml:space="preserve">05 — TIMELINE</w:t>
      </w:r>
    </w:p>
    <w:p>
      <w:pPr>
        <w:pStyle w:val="Heading1"/>
      </w:pPr>
      <w:r>
        <w:t xml:space="preserve">A Phased Approach</w:t>
      </w:r>
    </w:p>
    <w:p>
      <w:pPr>
        <w:spacing w:after="100"/>
      </w:pPr>
    </w:p>
    <w:p>
      <w:pPr>
        <w:spacing w:after="160"/>
      </w:pPr>
      <w:r>
        <w:rPr>
          <w:rFonts w:ascii="Calibri" w:cs="Calibri" w:eastAsia="Calibri" w:hAnsi="Calibri"/>
          <w:color w:val="1A1A1A"/>
          <w:sz w:val="22"/>
          <w:szCs w:val="22"/>
        </w:rPr>
        <w:t xml:space="preserve">Transformation is sequenced for momentum. Each phase builds on the previous, ensuring that early wins fund and justify later investment.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none" w:color="FFFFFF" w:sz="0"/>
              <w:left w:val="none" w:color="FFFFFF" w:sz="0"/>
              <w:bottom w:val="single" w:color="1A1A1A" w:sz="4"/>
              <w:right w:val="none" w:color="FFFFFF" w:sz="0"/>
            </w:tcBorders>
            <w:tcMar>
              <w:top w:type="dxa" w:w="80"/>
              <w:left w:type="dxa" w:w="120"/>
              <w:bottom w:type="dxa" w:w="80"/>
              <w:right w:type="dxa" w:w="120"/>
            </w:tcMar>
          </w:tcPr>
          <w:p>
            <w:r>
              <w:rPr>
                <w:rFonts w:ascii="Calibri" w:cs="Calibri" w:eastAsia="Calibri" w:hAnsi="Calibri"/>
                <w:b/>
                <w:bCs/>
                <w:color w:val="5C5C5C"/>
                <w:spacing w:val="40"/>
                <w:sz w:val="14"/>
                <w:szCs w:val="14"/>
              </w:rPr>
              <w:t xml:space="preserve">PHASE</w:t>
            </w:r>
          </w:p>
        </w:tc>
        <w:tc>
          <w:tcPr>
            <w:tcW w:type="dxa" w:w="2200"/>
            <w:tcBorders>
              <w:top w:val="none" w:color="FFFFFF" w:sz="0"/>
              <w:left w:val="none" w:color="FFFFFF" w:sz="0"/>
              <w:bottom w:val="single" w:color="1A1A1A" w:sz="4"/>
              <w:right w:val="none" w:color="FFFFFF" w:sz="0"/>
            </w:tcBorders>
            <w:tcMar>
              <w:top w:type="dxa" w:w="80"/>
              <w:left w:type="dxa" w:w="120"/>
              <w:bottom w:type="dxa" w:w="80"/>
              <w:right w:type="dxa" w:w="120"/>
            </w:tcMar>
          </w:tcPr>
          <w:p>
            <w:r>
              <w:rPr>
                <w:rFonts w:ascii="Calibri" w:cs="Calibri" w:eastAsia="Calibri" w:hAnsi="Calibri"/>
                <w:b/>
                <w:bCs/>
                <w:color w:val="5C5C5C"/>
                <w:spacing w:val="40"/>
                <w:sz w:val="14"/>
                <w:szCs w:val="14"/>
              </w:rPr>
              <w:t xml:space="preserve">TIMING</w:t>
            </w:r>
          </w:p>
        </w:tc>
        <w:tc>
          <w:tcPr>
            <w:tcW w:type="dxa" w:w="4960"/>
            <w:tcBorders>
              <w:top w:val="none" w:color="FFFFFF" w:sz="0"/>
              <w:left w:val="none" w:color="FFFFFF" w:sz="0"/>
              <w:bottom w:val="single" w:color="1A1A1A" w:sz="4"/>
              <w:right w:val="none" w:color="FFFFFF" w:sz="0"/>
            </w:tcBorders>
            <w:tcMar>
              <w:top w:type="dxa" w:w="80"/>
              <w:left w:type="dxa" w:w="120"/>
              <w:bottom w:type="dxa" w:w="80"/>
              <w:right w:type="dxa" w:w="120"/>
            </w:tcMar>
          </w:tcPr>
          <w:p>
            <w:r>
              <w:rPr>
                <w:rFonts w:ascii="Calibri" w:cs="Calibri" w:eastAsia="Calibri" w:hAnsi="Calibri"/>
                <w:b/>
                <w:bCs/>
                <w:color w:val="5C5C5C"/>
                <w:spacing w:val="40"/>
                <w:sz w:val="14"/>
                <w:szCs w:val="14"/>
              </w:rPr>
              <w:t xml:space="preserve">KEY ACTIVITIES</w:t>
            </w:r>
          </w:p>
        </w:tc>
      </w:tr>
      <w:tr>
        <w:tc>
          <w:tcPr>
            <w:tcW w:type="dxa" w:w="2200"/>
            <w:tcBorders>
              <w:top w:val="none" w:color="FFFFFF" w:sz="0"/>
              <w:left w:val="single" w:color="2C5282" w:sz="8"/>
              <w:bottom w:val="single" w:color="D5D5D5" w:sz="1"/>
              <w:right w:val="none" w:color="FFFFFF" w:sz="0"/>
            </w:tcBorders>
            <w:tcMar>
              <w:top w:type="dxa" w:w="80"/>
              <w:left w:type="dxa" w:w="120"/>
              <w:bottom w:type="dxa" w:w="80"/>
              <w:right w:type="dxa" w:w="120"/>
            </w:tcMar>
          </w:tcPr>
          <w:p>
            <w:pPr>
              <w:spacing w:after="20"/>
            </w:pPr>
            <w:r>
              <w:rPr>
                <w:rFonts w:ascii="Calibri" w:cs="Calibri" w:eastAsia="Calibri" w:hAnsi="Calibri"/>
                <w:b/>
                <w:bCs/>
                <w:color w:val="2C5282"/>
                <w:sz w:val="20"/>
                <w:szCs w:val="20"/>
              </w:rPr>
              <w:t xml:space="preserve">INTAKE</w:t>
            </w:r>
          </w:p>
          <w:p>
            <w:r>
              <w:rPr>
                <w:rFonts w:ascii="Calibri" w:cs="Calibri" w:eastAsia="Calibri" w:hAnsi="Calibri"/>
                <w:color w:val="5C5C5C"/>
                <w:sz w:val="16"/>
                <w:szCs w:val="16"/>
              </w:rPr>
              <w:t xml:space="preserve">→ CREATE</w:t>
            </w:r>
          </w:p>
        </w:tc>
        <w:tc>
          <w:tcPr>
            <w:tcW w:type="dxa" w:w="2200"/>
            <w:tcBorders>
              <w:top w:val="none" w:color="FFFFFF" w:sz="0"/>
              <w:left w:val="none" w:color="FFFFFF" w:sz="0"/>
              <w:bottom w:val="single" w:color="D5D5D5" w:sz="1"/>
              <w:right w:val="none" w:color="FFFFFF" w:sz="0"/>
            </w:tcBorders>
            <w:tcMar>
              <w:top w:type="dxa" w:w="80"/>
              <w:left w:type="dxa" w:w="120"/>
              <w:bottom w:type="dxa" w:w="80"/>
              <w:right w:type="dxa" w:w="120"/>
            </w:tcMar>
          </w:tcPr>
          <w:p>
            <w:r>
              <w:rPr>
                <w:rFonts w:ascii="Calibri" w:cs="Calibri" w:eastAsia="Calibri" w:hAnsi="Calibri"/>
                <w:color w:val="1A1A1A"/>
                <w:sz w:val="20"/>
                <w:szCs w:val="20"/>
              </w:rPr>
              <w:t xml:space="preserve">April – May 2026</w:t>
            </w:r>
          </w:p>
        </w:tc>
        <w:tc>
          <w:tcPr>
            <w:tcW w:type="dxa" w:w="4960"/>
            <w:tcBorders>
              <w:top w:val="none" w:color="FFFFFF" w:sz="0"/>
              <w:left w:val="none" w:color="FFFFFF" w:sz="0"/>
              <w:bottom w:val="single" w:color="D5D5D5" w:sz="1"/>
              <w:right w:val="none" w:color="FFFFFF" w:sz="0"/>
            </w:tcBorders>
            <w:tcMar>
              <w:top w:type="dxa" w:w="80"/>
              <w:left w:type="dxa" w:w="120"/>
              <w:bottom w:type="dxa" w:w="80"/>
              <w:right w:type="dxa" w:w="120"/>
            </w:tcMar>
          </w:tcPr>
          <w:p>
            <w:r>
              <w:rPr>
                <w:rFonts w:ascii="Calibri" w:cs="Calibri" w:eastAsia="Calibri" w:hAnsi="Calibri"/>
                <w:color w:val="5C5C5C"/>
                <w:sz w:val="20"/>
                <w:szCs w:val="20"/>
              </w:rPr>
              <w:t xml:space="preserve">SOP documentation review, technology audit, stakeholder mapping, engagement preparation.</w:t>
            </w:r>
          </w:p>
        </w:tc>
      </w:tr>
      <w:tr>
        <w:tc>
          <w:tcPr>
            <w:tcW w:type="dxa" w:w="2200"/>
            <w:tcBorders>
              <w:top w:val="none" w:color="FFFFFF" w:sz="0"/>
              <w:left w:val="single" w:color="2A7D4F" w:sz="8"/>
              <w:bottom w:val="single" w:color="D5D5D5" w:sz="1"/>
              <w:right w:val="none" w:color="FFFFFF" w:sz="0"/>
            </w:tcBorders>
            <w:tcMar>
              <w:top w:type="dxa" w:w="80"/>
              <w:left w:type="dxa" w:w="120"/>
              <w:bottom w:type="dxa" w:w="80"/>
              <w:right w:type="dxa" w:w="120"/>
            </w:tcMar>
          </w:tcPr>
          <w:p>
            <w:pPr>
              <w:spacing w:after="20"/>
            </w:pPr>
            <w:r>
              <w:rPr>
                <w:rFonts w:ascii="Calibri" w:cs="Calibri" w:eastAsia="Calibri" w:hAnsi="Calibri"/>
                <w:b/>
                <w:bCs/>
                <w:color w:val="2A7D4F"/>
                <w:sz w:val="20"/>
                <w:szCs w:val="20"/>
              </w:rPr>
              <w:t xml:space="preserve">DISCOVERY</w:t>
            </w:r>
          </w:p>
          <w:p>
            <w:r>
              <w:rPr>
                <w:rFonts w:ascii="Calibri" w:cs="Calibri" w:eastAsia="Calibri" w:hAnsi="Calibri"/>
                <w:color w:val="5C5C5C"/>
                <w:sz w:val="16"/>
                <w:szCs w:val="16"/>
              </w:rPr>
              <w:t xml:space="preserve">→ CREATE</w:t>
            </w:r>
          </w:p>
        </w:tc>
        <w:tc>
          <w:tcPr>
            <w:tcW w:type="dxa" w:w="2200"/>
            <w:tcBorders>
              <w:top w:val="none" w:color="FFFFFF" w:sz="0"/>
              <w:left w:val="none" w:color="FFFFFF" w:sz="0"/>
              <w:bottom w:val="single" w:color="D5D5D5" w:sz="1"/>
              <w:right w:val="none" w:color="FFFFFF" w:sz="0"/>
            </w:tcBorders>
            <w:tcMar>
              <w:top w:type="dxa" w:w="80"/>
              <w:left w:type="dxa" w:w="120"/>
              <w:bottom w:type="dxa" w:w="80"/>
              <w:right w:type="dxa" w:w="120"/>
            </w:tcMar>
          </w:tcPr>
          <w:p>
            <w:r>
              <w:rPr>
                <w:rFonts w:ascii="Calibri" w:cs="Calibri" w:eastAsia="Calibri" w:hAnsi="Calibri"/>
                <w:color w:val="1A1A1A"/>
                <w:sz w:val="20"/>
                <w:szCs w:val="20"/>
              </w:rPr>
              <w:t xml:space="preserve">June 2026</w:t>
            </w:r>
          </w:p>
        </w:tc>
        <w:tc>
          <w:tcPr>
            <w:tcW w:type="dxa" w:w="4960"/>
            <w:tcBorders>
              <w:top w:val="none" w:color="FFFFFF" w:sz="0"/>
              <w:left w:val="none" w:color="FFFFFF" w:sz="0"/>
              <w:bottom w:val="single" w:color="D5D5D5" w:sz="1"/>
              <w:right w:val="none" w:color="FFFFFF" w:sz="0"/>
            </w:tcBorders>
            <w:tcMar>
              <w:top w:type="dxa" w:w="80"/>
              <w:left w:type="dxa" w:w="120"/>
              <w:bottom w:type="dxa" w:w="80"/>
              <w:right w:type="dxa" w:w="120"/>
            </w:tcMar>
          </w:tcPr>
          <w:p>
            <w:r>
              <w:rPr>
                <w:rFonts w:ascii="Calibri" w:cs="Calibri" w:eastAsia="Calibri" w:hAnsi="Calibri"/>
                <w:color w:val="5C5C5C"/>
                <w:sz w:val="20"/>
                <w:szCs w:val="20"/>
              </w:rPr>
              <w:t xml:space="preserve">Onsite Toronto interviews, process mapping workshops, technology assessment, AI vision alignment.</w:t>
            </w:r>
          </w:p>
        </w:tc>
      </w:tr>
      <w:tr>
        <w:tc>
          <w:tcPr>
            <w:tcW w:type="dxa" w:w="2200"/>
            <w:tcBorders>
              <w:top w:val="none" w:color="FFFFFF" w:sz="0"/>
              <w:left w:val="single" w:color="7A7AE6" w:sz="8"/>
              <w:bottom w:val="single" w:color="D5D5D5" w:sz="1"/>
              <w:right w:val="none" w:color="FFFFFF" w:sz="0"/>
            </w:tcBorders>
            <w:tcMar>
              <w:top w:type="dxa" w:w="80"/>
              <w:left w:type="dxa" w:w="120"/>
              <w:bottom w:type="dxa" w:w="80"/>
              <w:right w:type="dxa" w:w="120"/>
            </w:tcMar>
          </w:tcPr>
          <w:p>
            <w:pPr>
              <w:spacing w:after="20"/>
            </w:pPr>
            <w:r>
              <w:rPr>
                <w:rFonts w:ascii="Calibri" w:cs="Calibri" w:eastAsia="Calibri" w:hAnsi="Calibri"/>
                <w:b/>
                <w:bCs/>
                <w:color w:val="7A7AE6"/>
                <w:sz w:val="20"/>
                <w:szCs w:val="20"/>
              </w:rPr>
              <w:t xml:space="preserve">IMPLEMENTATION</w:t>
            </w:r>
          </w:p>
          <w:p>
            <w:r>
              <w:rPr>
                <w:rFonts w:ascii="Calibri" w:cs="Calibri" w:eastAsia="Calibri" w:hAnsi="Calibri"/>
                <w:color w:val="5C5C5C"/>
                <w:sz w:val="16"/>
                <w:szCs w:val="16"/>
              </w:rPr>
              <w:t xml:space="preserve">→ BUILD</w:t>
            </w:r>
          </w:p>
        </w:tc>
        <w:tc>
          <w:tcPr>
            <w:tcW w:type="dxa" w:w="2200"/>
            <w:tcBorders>
              <w:top w:val="none" w:color="FFFFFF" w:sz="0"/>
              <w:left w:val="none" w:color="FFFFFF" w:sz="0"/>
              <w:bottom w:val="single" w:color="D5D5D5" w:sz="1"/>
              <w:right w:val="none" w:color="FFFFFF" w:sz="0"/>
            </w:tcBorders>
            <w:tcMar>
              <w:top w:type="dxa" w:w="80"/>
              <w:left w:type="dxa" w:w="120"/>
              <w:bottom w:type="dxa" w:w="80"/>
              <w:right w:type="dxa" w:w="120"/>
            </w:tcMar>
          </w:tcPr>
          <w:p>
            <w:r>
              <w:rPr>
                <w:rFonts w:ascii="Calibri" w:cs="Calibri" w:eastAsia="Calibri" w:hAnsi="Calibri"/>
                <w:color w:val="1A1A1A"/>
                <w:sz w:val="20"/>
                <w:szCs w:val="20"/>
              </w:rPr>
              <w:t xml:space="preserve">July – October 2026</w:t>
            </w:r>
          </w:p>
        </w:tc>
        <w:tc>
          <w:tcPr>
            <w:tcW w:type="dxa" w:w="4960"/>
            <w:tcBorders>
              <w:top w:val="none" w:color="FFFFFF" w:sz="0"/>
              <w:left w:val="none" w:color="FFFFFF" w:sz="0"/>
              <w:bottom w:val="single" w:color="D5D5D5" w:sz="1"/>
              <w:right w:val="none" w:color="FFFFFF" w:sz="0"/>
            </w:tcBorders>
            <w:tcMar>
              <w:top w:type="dxa" w:w="80"/>
              <w:left w:type="dxa" w:w="120"/>
              <w:bottom w:type="dxa" w:w="80"/>
              <w:right w:type="dxa" w:w="120"/>
            </w:tcMar>
          </w:tcPr>
          <w:p>
            <w:r>
              <w:rPr>
                <w:rFonts w:ascii="Calibri" w:cs="Calibri" w:eastAsia="Calibri" w:hAnsi="Calibri"/>
                <w:color w:val="5C5C5C"/>
                <w:sz w:val="20"/>
                <w:szCs w:val="20"/>
              </w:rPr>
              <w:t xml:space="preserve">Priority workstream execution, automation builds, platform optimization, champion training.</w:t>
            </w:r>
          </w:p>
        </w:tc>
      </w:tr>
      <w:tr>
        <w:tc>
          <w:tcPr>
            <w:tcW w:type="dxa" w:w="2200"/>
            <w:tcBorders>
              <w:top w:val="none" w:color="FFFFFF" w:sz="0"/>
              <w:left w:val="single" w:color="9A6F1E" w:sz="8"/>
              <w:bottom w:val="single" w:color="D5D5D5" w:sz="1"/>
              <w:right w:val="none" w:color="FFFFFF" w:sz="0"/>
            </w:tcBorders>
            <w:tcMar>
              <w:top w:type="dxa" w:w="80"/>
              <w:left w:type="dxa" w:w="120"/>
              <w:bottom w:type="dxa" w:w="80"/>
              <w:right w:type="dxa" w:w="120"/>
            </w:tcMar>
          </w:tcPr>
          <w:p>
            <w:pPr>
              <w:spacing w:after="20"/>
            </w:pPr>
            <w:r>
              <w:rPr>
                <w:rFonts w:ascii="Calibri" w:cs="Calibri" w:eastAsia="Calibri" w:hAnsi="Calibri"/>
                <w:b/>
                <w:bCs/>
                <w:color w:val="9A6F1E"/>
                <w:sz w:val="20"/>
                <w:szCs w:val="20"/>
              </w:rPr>
              <w:t xml:space="preserve">STABILIZATION</w:t>
            </w:r>
          </w:p>
          <w:p>
            <w:r>
              <w:rPr>
                <w:rFonts w:ascii="Calibri" w:cs="Calibri" w:eastAsia="Calibri" w:hAnsi="Calibri"/>
                <w:color w:val="5C5C5C"/>
                <w:sz w:val="16"/>
                <w:szCs w:val="16"/>
              </w:rPr>
              <w:t xml:space="preserve">→ EXECUTE</w:t>
            </w:r>
          </w:p>
        </w:tc>
        <w:tc>
          <w:tcPr>
            <w:tcW w:type="dxa" w:w="2200"/>
            <w:tcBorders>
              <w:top w:val="none" w:color="FFFFFF" w:sz="0"/>
              <w:left w:val="none" w:color="FFFFFF" w:sz="0"/>
              <w:bottom w:val="single" w:color="D5D5D5" w:sz="1"/>
              <w:right w:val="none" w:color="FFFFFF" w:sz="0"/>
            </w:tcBorders>
            <w:tcMar>
              <w:top w:type="dxa" w:w="80"/>
              <w:left w:type="dxa" w:w="120"/>
              <w:bottom w:type="dxa" w:w="80"/>
              <w:right w:type="dxa" w:w="120"/>
            </w:tcMar>
          </w:tcPr>
          <w:p>
            <w:r>
              <w:rPr>
                <w:rFonts w:ascii="Calibri" w:cs="Calibri" w:eastAsia="Calibri" w:hAnsi="Calibri"/>
                <w:color w:val="1A1A1A"/>
                <w:sz w:val="20"/>
                <w:szCs w:val="20"/>
              </w:rPr>
              <w:t xml:space="preserve">November 2026+</w:t>
            </w:r>
          </w:p>
        </w:tc>
        <w:tc>
          <w:tcPr>
            <w:tcW w:type="dxa" w:w="4960"/>
            <w:tcBorders>
              <w:top w:val="none" w:color="FFFFFF" w:sz="0"/>
              <w:left w:val="none" w:color="FFFFFF" w:sz="0"/>
              <w:bottom w:val="single" w:color="D5D5D5" w:sz="1"/>
              <w:right w:val="none" w:color="FFFFFF" w:sz="0"/>
            </w:tcBorders>
            <w:tcMar>
              <w:top w:type="dxa" w:w="80"/>
              <w:left w:type="dxa" w:w="120"/>
              <w:bottom w:type="dxa" w:w="80"/>
              <w:right w:type="dxa" w:w="120"/>
            </w:tcMar>
          </w:tcPr>
          <w:p>
            <w:r>
              <w:rPr>
                <w:rFonts w:ascii="Calibri" w:cs="Calibri" w:eastAsia="Calibri" w:hAnsi="Calibri"/>
                <w:color w:val="5C5C5C"/>
                <w:sz w:val="20"/>
                <w:szCs w:val="20"/>
              </w:rPr>
              <w:t xml:space="preserve">Adoption reinforcement, measurement &amp; reporting, knowledge transfer, advisory retainer.</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EDEDFC" w:sz="0"/>
              <w:left w:val="single" w:color="7A7AE6" w:sz="12"/>
              <w:bottom w:val="none" w:color="EDEDFC" w:sz="0"/>
              <w:right w:val="none" w:color="EDEDFC" w:sz="0"/>
            </w:tcBorders>
            <w:shd w:fill="EDEDFC" w:val="clear"/>
            <w:tcMar>
              <w:top w:type="dxa" w:w="120"/>
              <w:left w:type="dxa" w:w="200"/>
              <w:bottom w:type="dxa" w:w="120"/>
              <w:right w:type="dxa" w:w="200"/>
            </w:tcMar>
          </w:tcPr>
          <w:p>
            <w:pPr>
              <w:spacing w:after="60"/>
            </w:pPr>
            <w:r>
              <w:rPr>
                <w:rFonts w:ascii="Calibri" w:cs="Calibri" w:eastAsia="Calibri" w:hAnsi="Calibri"/>
                <w:b/>
                <w:bCs/>
                <w:color w:val="7A7AE6"/>
                <w:spacing w:val="40"/>
                <w:sz w:val="14"/>
                <w:szCs w:val="14"/>
              </w:rPr>
              <w:t xml:space="preserve">PHASED VALUE DELIVERY</w:t>
            </w:r>
          </w:p>
          <w:p>
            <w:r>
              <w:rPr>
                <w:rFonts w:ascii="Calibri" w:cs="Calibri" w:eastAsia="Calibri" w:hAnsi="Calibri"/>
                <w:color w:val="1A1A1A"/>
                <w:sz w:val="20"/>
                <w:szCs w:val="20"/>
              </w:rPr>
              <w:t xml:space="preserve">Each phase delivers standalone value. Taylor sees results before committing to the next stage. No multi-year contracts. No lock-in. Prove value, then expand.</w:t>
            </w:r>
          </w:p>
        </w:tc>
      </w:tr>
    </w:tbl>
    <w:p>
      <w:r>
        <w:br w:type="page"/>
      </w:r>
    </w:p>
    <w:p>
      <w:pPr>
        <w:spacing w:after="60" w:before="100"/>
      </w:pPr>
      <w:r>
        <w:rPr>
          <w:rFonts w:ascii="Calibri" w:cs="Calibri" w:eastAsia="Calibri" w:hAnsi="Calibri"/>
          <w:b/>
          <w:bCs/>
          <w:color w:val="7A7AE6"/>
          <w:spacing w:val="60"/>
          <w:sz w:val="16"/>
          <w:szCs w:val="16"/>
        </w:rPr>
        <w:t xml:space="preserve">06 — MARKET INSIGHTS</w:t>
      </w:r>
    </w:p>
    <w:p>
      <w:pPr>
        <w:pStyle w:val="Heading1"/>
      </w:pPr>
      <w:r>
        <w:t xml:space="preserve">AI in Experiential Marketing: Three Horizons</w:t>
      </w:r>
    </w:p>
    <w:p>
      <w:pPr>
        <w:spacing w:after="100"/>
      </w:pPr>
    </w:p>
    <w:p>
      <w:pPr>
        <w:spacing w:after="160"/>
      </w:pPr>
      <w:r>
        <w:rPr>
          <w:rFonts w:ascii="Calibri" w:cs="Calibri" w:eastAsia="Calibri" w:hAnsi="Calibri"/>
          <w:color w:val="1A1A1A"/>
          <w:sz w:val="22"/>
          <w:szCs w:val="22"/>
        </w:rPr>
        <w:t xml:space="preserve">Understanding where the industry is heading helps frame why transformation now is a strategic imperative, not a technology project.</w:t>
      </w:r>
    </w:p>
    <w:p>
      <w:pPr>
        <w:spacing w:after="100"/>
      </w:pPr>
    </w:p>
    <w:p>
      <w:pPr>
        <w:pStyle w:val="Heading2"/>
      </w:pPr>
      <w:r>
        <w:t xml:space="preserve">Horizon 1: Now → 12 Months</w:t>
      </w:r>
    </w:p>
    <w:p>
      <w:pPr>
        <w:pStyle w:val="ListParagraph"/>
        <w:numPr>
          <w:ilvl w:val="0"/>
          <w:numId w:val="2"/>
        </w:numPr>
        <w:spacing w:after="80"/>
      </w:pPr>
      <w:r>
        <w:rPr>
          <w:rFonts w:ascii="Calibri" w:cs="Calibri" w:eastAsia="Calibri" w:hAnsi="Calibri"/>
          <w:color w:val="1A1A1A"/>
          <w:sz w:val="22"/>
          <w:szCs w:val="22"/>
        </w:rPr>
        <w:t xml:space="preserve">$15.8 billion global experiential marketing market at its peak</w:t>
      </w:r>
    </w:p>
    <w:p>
      <w:pPr>
        <w:pStyle w:val="ListParagraph"/>
        <w:numPr>
          <w:ilvl w:val="0"/>
          <w:numId w:val="2"/>
        </w:numPr>
        <w:spacing w:after="80"/>
      </w:pPr>
      <w:r>
        <w:rPr>
          <w:rFonts w:ascii="Calibri" w:cs="Calibri" w:eastAsia="Calibri" w:hAnsi="Calibri"/>
          <w:color w:val="1A1A1A"/>
          <w:sz w:val="22"/>
          <w:szCs w:val="22"/>
        </w:rPr>
        <w:t xml:space="preserve">82% of brands report that in-person events deliver higher ROI than digital alternatives</w:t>
      </w:r>
    </w:p>
    <w:p>
      <w:pPr>
        <w:pStyle w:val="ListParagraph"/>
        <w:numPr>
          <w:ilvl w:val="0"/>
          <w:numId w:val="2"/>
        </w:numPr>
        <w:spacing w:after="80"/>
      </w:pPr>
      <w:r>
        <w:rPr>
          <w:rFonts w:ascii="Calibri" w:cs="Calibri" w:eastAsia="Calibri" w:hAnsi="Calibri"/>
          <w:color w:val="1A1A1A"/>
          <w:sz w:val="22"/>
          <w:szCs w:val="22"/>
        </w:rPr>
        <w:t xml:space="preserve">AI is already automating 47% of marketing activities, with 30% productivity gains achievable</w:t>
      </w:r>
    </w:p>
    <w:p>
      <w:pPr>
        <w:pStyle w:val="ListParagraph"/>
        <w:numPr>
          <w:ilvl w:val="0"/>
          <w:numId w:val="2"/>
        </w:numPr>
        <w:spacing w:after="80"/>
      </w:pPr>
      <w:r>
        <w:rPr>
          <w:rFonts w:ascii="Calibri" w:cs="Calibri" w:eastAsia="Calibri" w:hAnsi="Calibri"/>
          <w:color w:val="1A1A1A"/>
          <w:sz w:val="22"/>
          <w:szCs w:val="22"/>
        </w:rPr>
        <w:t xml:space="preserve">Most companies are experimenting; few have operationalized AI into their workflows</w:t>
      </w:r>
    </w:p>
    <w:p>
      <w:pPr>
        <w:pStyle w:val="ListParagraph"/>
        <w:numPr>
          <w:ilvl w:val="0"/>
          <w:numId w:val="2"/>
        </w:numPr>
        <w:spacing w:after="80"/>
      </w:pPr>
      <w:r>
        <w:rPr>
          <w:rFonts w:ascii="Calibri" w:cs="Calibri" w:eastAsia="Calibri" w:hAnsi="Calibri"/>
          <w:color w:val="1A1A1A"/>
          <w:sz w:val="22"/>
          <w:szCs w:val="22"/>
        </w:rPr>
        <w:t xml:space="preserve">Quick wins available now: email automation, meeting summarization, content draft generation</w:t>
      </w:r>
    </w:p>
    <w:p>
      <w:pPr>
        <w:spacing w:after="100"/>
      </w:pPr>
    </w:p>
    <w:p>
      <w:pPr>
        <w:pStyle w:val="Heading2"/>
      </w:pPr>
      <w:r>
        <w:t xml:space="preserve">Horizon 2: 1–3 Years</w:t>
      </w:r>
    </w:p>
    <w:p>
      <w:pPr>
        <w:pStyle w:val="ListParagraph"/>
        <w:numPr>
          <w:ilvl w:val="0"/>
          <w:numId w:val="2"/>
        </w:numPr>
        <w:spacing w:after="80"/>
      </w:pPr>
      <w:r>
        <w:rPr>
          <w:rFonts w:ascii="Calibri" w:cs="Calibri" w:eastAsia="Calibri" w:hAnsi="Calibri"/>
          <w:color w:val="1A1A1A"/>
          <w:sz w:val="22"/>
          <w:szCs w:val="22"/>
        </w:rPr>
        <w:t xml:space="preserve">Agentic AI replaces basic chatbots — ClickUp Brain evolves into autonomous project management agents</w:t>
      </w:r>
    </w:p>
    <w:p>
      <w:pPr>
        <w:pStyle w:val="ListParagraph"/>
        <w:numPr>
          <w:ilvl w:val="0"/>
          <w:numId w:val="2"/>
        </w:numPr>
        <w:spacing w:after="80"/>
      </w:pPr>
      <w:r>
        <w:rPr>
          <w:rFonts w:ascii="Calibri" w:cs="Calibri" w:eastAsia="Calibri" w:hAnsi="Calibri"/>
          <w:color w:val="1A1A1A"/>
          <w:sz w:val="22"/>
          <w:szCs w:val="22"/>
        </w:rPr>
        <w:t xml:space="preserve">Multimodal AI enables new forms of immersive experience design and visualization</w:t>
      </w:r>
    </w:p>
    <w:p>
      <w:pPr>
        <w:pStyle w:val="ListParagraph"/>
        <w:numPr>
          <w:ilvl w:val="0"/>
          <w:numId w:val="2"/>
        </w:numPr>
        <w:spacing w:after="80"/>
      </w:pPr>
      <w:r>
        <w:rPr>
          <w:rFonts w:ascii="Calibri" w:cs="Calibri" w:eastAsia="Calibri" w:hAnsi="Calibri"/>
          <w:color w:val="1A1A1A"/>
          <w:sz w:val="22"/>
          <w:szCs w:val="22"/>
        </w:rPr>
        <w:t xml:space="preserve">Asset tracking moves from spreadsheets to RFID/IoT-based real-time monitoring</w:t>
      </w:r>
    </w:p>
    <w:p>
      <w:pPr>
        <w:pStyle w:val="ListParagraph"/>
        <w:numPr>
          <w:ilvl w:val="0"/>
          <w:numId w:val="2"/>
        </w:numPr>
        <w:spacing w:after="80"/>
      </w:pPr>
      <w:r>
        <w:rPr>
          <w:rFonts w:ascii="Calibri" w:cs="Calibri" w:eastAsia="Calibri" w:hAnsi="Calibri"/>
          <w:color w:val="1A1A1A"/>
          <w:sz w:val="22"/>
          <w:szCs w:val="22"/>
        </w:rPr>
        <w:t xml:space="preserve">Companies that transformed early are winning enterprise contracts through operational proof points</w:t>
      </w:r>
    </w:p>
    <w:p>
      <w:pPr>
        <w:pStyle w:val="ListParagraph"/>
        <w:numPr>
          <w:ilvl w:val="0"/>
          <w:numId w:val="2"/>
        </w:numPr>
        <w:spacing w:after="80"/>
      </w:pPr>
      <w:r>
        <w:rPr>
          <w:rFonts w:ascii="Calibri" w:cs="Calibri" w:eastAsia="Calibri" w:hAnsi="Calibri"/>
          <w:color w:val="1A1A1A"/>
          <w:sz w:val="22"/>
          <w:szCs w:val="22"/>
        </w:rPr>
        <w:t xml:space="preserve">The gap between AI-enabled and AI-absent firms becomes a competitive divide</w:t>
      </w:r>
    </w:p>
    <w:p>
      <w:pPr>
        <w:spacing w:after="100"/>
      </w:pPr>
    </w:p>
    <w:p>
      <w:pPr>
        <w:pStyle w:val="Heading2"/>
      </w:pPr>
      <w:r>
        <w:t xml:space="preserve">Horizon 3: 5–10 Years — Taylor Group in 2036</w:t>
      </w:r>
    </w:p>
    <w:p>
      <w:pPr>
        <w:pStyle w:val="ListParagraph"/>
        <w:numPr>
          <w:ilvl w:val="0"/>
          <w:numId w:val="2"/>
        </w:numPr>
        <w:spacing w:after="80"/>
      </w:pPr>
      <w:r>
        <w:rPr>
          <w:rFonts w:ascii="Calibri" w:cs="Calibri" w:eastAsia="Calibri" w:hAnsi="Calibri"/>
          <w:color w:val="1A1A1A"/>
          <w:sz w:val="22"/>
          <w:szCs w:val="22"/>
        </w:rPr>
        <w:t xml:space="preserve">Predictive operations: AI forecasts capacity needs, material costs, and client demands</w:t>
      </w:r>
    </w:p>
    <w:p>
      <w:pPr>
        <w:pStyle w:val="ListParagraph"/>
        <w:numPr>
          <w:ilvl w:val="0"/>
          <w:numId w:val="2"/>
        </w:numPr>
        <w:spacing w:after="80"/>
      </w:pPr>
      <w:r>
        <w:rPr>
          <w:rFonts w:ascii="Calibri" w:cs="Calibri" w:eastAsia="Calibri" w:hAnsi="Calibri"/>
          <w:color w:val="1A1A1A"/>
          <w:sz w:val="22"/>
          <w:szCs w:val="22"/>
        </w:rPr>
        <w:t xml:space="preserve">Digital twin technology: virtual replicas of warehouses, assets, and event spaces</w:t>
      </w:r>
    </w:p>
    <w:p>
      <w:pPr>
        <w:pStyle w:val="ListParagraph"/>
        <w:numPr>
          <w:ilvl w:val="0"/>
          <w:numId w:val="2"/>
        </w:numPr>
        <w:spacing w:after="80"/>
      </w:pPr>
      <w:r>
        <w:rPr>
          <w:rFonts w:ascii="Calibri" w:cs="Calibri" w:eastAsia="Calibri" w:hAnsi="Calibri"/>
          <w:color w:val="1A1A1A"/>
          <w:sz w:val="22"/>
          <w:szCs w:val="22"/>
        </w:rPr>
        <w:t xml:space="preserve">AI-powered creative augmentation: concept to fabrication specs to procurement — AI-assisted end-to-end</w:t>
      </w:r>
    </w:p>
    <w:p>
      <w:pPr>
        <w:pStyle w:val="ListParagraph"/>
        <w:numPr>
          <w:ilvl w:val="0"/>
          <w:numId w:val="2"/>
        </w:numPr>
        <w:spacing w:after="80"/>
      </w:pPr>
      <w:r>
        <w:rPr>
          <w:rFonts w:ascii="Calibri" w:cs="Calibri" w:eastAsia="Calibri" w:hAnsi="Calibri"/>
          <w:color w:val="1A1A1A"/>
          <w:sz w:val="22"/>
          <w:szCs w:val="22"/>
        </w:rPr>
        <w:t xml:space="preserve">Taylor’s institutional knowledge becomes its competitive moat</w:t>
      </w:r>
    </w:p>
    <w:p>
      <w:pPr>
        <w:pStyle w:val="ListParagraph"/>
        <w:numPr>
          <w:ilvl w:val="0"/>
          <w:numId w:val="2"/>
        </w:numPr>
        <w:spacing w:after="80"/>
      </w:pPr>
      <w:r>
        <w:rPr>
          <w:rFonts w:ascii="Calibri" w:cs="Calibri" w:eastAsia="Calibri" w:hAnsi="Calibri"/>
          <w:color w:val="1A1A1A"/>
          <w:sz w:val="22"/>
          <w:szCs w:val="22"/>
        </w:rPr>
        <w:t xml:space="preserve">The companies that built their Digital Backbone in 2026 are the market leaders in 2036</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EDEDFC" w:sz="0"/>
              <w:left w:val="single" w:color="7A7AE6" w:sz="12"/>
              <w:bottom w:val="none" w:color="EDEDFC" w:sz="0"/>
              <w:right w:val="none" w:color="EDEDFC" w:sz="0"/>
            </w:tcBorders>
            <w:shd w:fill="EDEDFC" w:val="clear"/>
            <w:tcMar>
              <w:top w:type="dxa" w:w="120"/>
              <w:left w:type="dxa" w:w="200"/>
              <w:bottom w:type="dxa" w:w="120"/>
              <w:right w:type="dxa" w:w="200"/>
            </w:tcMar>
          </w:tcPr>
          <w:p>
            <w:pPr>
              <w:spacing w:after="60"/>
            </w:pPr>
            <w:r>
              <w:rPr>
                <w:rFonts w:ascii="Calibri" w:cs="Calibri" w:eastAsia="Calibri" w:hAnsi="Calibri"/>
                <w:b/>
                <w:bCs/>
                <w:color w:val="7A7AE6"/>
                <w:spacing w:val="40"/>
                <w:sz w:val="14"/>
                <w:szCs w:val="14"/>
              </w:rPr>
              <w:t xml:space="preserve">THE TRANSFORMATION LANDSCAPE</w:t>
            </w:r>
          </w:p>
          <w:p>
            <w:r>
              <w:rPr>
                <w:rFonts w:ascii="Calibri" w:cs="Calibri" w:eastAsia="Calibri" w:hAnsi="Calibri"/>
                <w:color w:val="1A1A1A"/>
                <w:sz w:val="20"/>
                <w:szCs w:val="20"/>
              </w:rPr>
              <w:t xml:space="preserve">16% of digital transformations fully succeed (McKinsey)  •  70% of change programs fail to meet objectives  •  Only 25% achieve expected AI ROI  •  40% cost reduction potential with unified digital operations (McKinsey Lighthouse Study)</w:t>
            </w:r>
          </w:p>
        </w:tc>
      </w:tr>
    </w:tbl>
    <w:p>
      <w:pPr>
        <w:spacing w:after="100"/>
      </w:pPr>
    </w:p>
    <w:p>
      <w:pPr>
        <w:spacing w:after="160"/>
      </w:pPr>
      <w:r>
        <w:rPr>
          <w:rFonts w:ascii="Calibri" w:cs="Calibri" w:eastAsia="Calibri" w:hAnsi="Calibri"/>
          <w:color w:val="5C5C5C"/>
          <w:sz w:val="22"/>
          <w:szCs w:val="22"/>
        </w:rPr>
        <w:t xml:space="preserve">These statistics aren’t meant to discourage. They’re meant to emphasize: approach matters more than ambition.</w:t>
      </w:r>
    </w:p>
    <w:p>
      <w:r>
        <w:br w:type="page"/>
      </w:r>
    </w:p>
    <w:p>
      <w:pPr>
        <w:spacing w:after="60" w:before="100"/>
      </w:pPr>
      <w:r>
        <w:rPr>
          <w:rFonts w:ascii="Calibri" w:cs="Calibri" w:eastAsia="Calibri" w:hAnsi="Calibri"/>
          <w:b/>
          <w:bCs/>
          <w:color w:val="7A7AE6"/>
          <w:spacing w:val="60"/>
          <w:sz w:val="16"/>
          <w:szCs w:val="16"/>
        </w:rPr>
        <w:t xml:space="preserve">07 — WHY TRANSFORMAZ</w:t>
      </w:r>
    </w:p>
    <w:p>
      <w:pPr>
        <w:pStyle w:val="Heading1"/>
      </w:pPr>
      <w:r>
        <w:t xml:space="preserve">The Right Partner for This Moment</w:t>
      </w:r>
    </w:p>
    <w:p>
      <w:pPr>
        <w:spacing w:after="100"/>
      </w:pPr>
    </w:p>
    <w:p>
      <w:pPr>
        <w:spacing w:after="160"/>
      </w:pPr>
      <w:r>
        <w:rPr>
          <w:rFonts w:ascii="Calibri" w:cs="Calibri" w:eastAsia="Calibri" w:hAnsi="Calibri"/>
          <w:b/>
          <w:bCs/>
          <w:color w:val="1A1A1A"/>
          <w:sz w:val="22"/>
          <w:szCs w:val="22"/>
        </w:rPr>
        <w:t xml:space="preserve">Industry experience that matters. </w:t>
      </w:r>
      <w:r>
        <w:rPr>
          <w:rFonts w:ascii="Calibri" w:cs="Calibri" w:eastAsia="Calibri" w:hAnsi="Calibri"/>
          <w:color w:val="5C5C5C"/>
          <w:sz w:val="22"/>
          <w:szCs w:val="22"/>
        </w:rPr>
        <w:t xml:space="preserve">We’ve worked with eSports organizations, trade show companies, and creative agencies — industries where the work is project-based, deadline-driven, and deeply human. We understand that Taylor’s business isn’t a factory floor. It’s a creative operation that needs systems, not the other way around.</w:t>
      </w:r>
    </w:p>
    <w:p>
      <w:pPr>
        <w:spacing w:after="160"/>
      </w:pPr>
      <w:r>
        <w:rPr>
          <w:rFonts w:ascii="Calibri" w:cs="Calibri" w:eastAsia="Calibri" w:hAnsi="Calibri"/>
          <w:b/>
          <w:bCs/>
          <w:color w:val="1A1A1A"/>
          <w:sz w:val="22"/>
          <w:szCs w:val="22"/>
        </w:rPr>
        <w:t xml:space="preserve">Operational-first approach. </w:t>
      </w:r>
      <w:r>
        <w:rPr>
          <w:rFonts w:ascii="Calibri" w:cs="Calibri" w:eastAsia="Calibri" w:hAnsi="Calibri"/>
          <w:color w:val="5C5C5C"/>
          <w:sz w:val="22"/>
          <w:szCs w:val="22"/>
        </w:rPr>
        <w:t xml:space="preserve">We don’t start with technology. We start with how people actually work, what processes actually exist, and where the real friction lives. Technology is the enabler, not the answer.</w:t>
      </w:r>
    </w:p>
    <w:p>
      <w:pPr>
        <w:spacing w:after="160"/>
      </w:pPr>
      <w:r>
        <w:rPr>
          <w:rFonts w:ascii="Calibri" w:cs="Calibri" w:eastAsia="Calibri" w:hAnsi="Calibri"/>
          <w:b/>
          <w:bCs/>
          <w:color w:val="1A1A1A"/>
          <w:sz w:val="22"/>
          <w:szCs w:val="22"/>
        </w:rPr>
        <w:t xml:space="preserve">Activate what you have. </w:t>
      </w:r>
      <w:r>
        <w:rPr>
          <w:rFonts w:ascii="Calibri" w:cs="Calibri" w:eastAsia="Calibri" w:hAnsi="Calibri"/>
          <w:color w:val="5C5C5C"/>
          <w:sz w:val="22"/>
          <w:szCs w:val="22"/>
        </w:rPr>
        <w:t xml:space="preserve">Our first instinct isn’t to sell new software. It’s to make the investments Taylor has already made — ClickUp, Gemini, M365 — actually deliver value. This reduces cost, accelerates timeline, and builds on familiar tools.</w:t>
      </w:r>
    </w:p>
    <w:p>
      <w:pPr>
        <w:spacing w:after="160"/>
      </w:pPr>
      <w:r>
        <w:rPr>
          <w:rFonts w:ascii="Calibri" w:cs="Calibri" w:eastAsia="Calibri" w:hAnsi="Calibri"/>
          <w:b/>
          <w:bCs/>
          <w:color w:val="1A1A1A"/>
          <w:sz w:val="22"/>
          <w:szCs w:val="22"/>
        </w:rPr>
        <w:t xml:space="preserve">People-centered transformation. </w:t>
      </w:r>
      <w:r>
        <w:rPr>
          <w:rFonts w:ascii="Calibri" w:cs="Calibri" w:eastAsia="Calibri" w:hAnsi="Calibri"/>
          <w:color w:val="5C5C5C"/>
          <w:sz w:val="22"/>
          <w:szCs w:val="22"/>
        </w:rPr>
        <w:t xml:space="preserve">The 16% success rate for digital transformations isn’t a technology problem. It’s a people problem. We build adoption into every phase, not as an afterthought but as the primary design constraint.</w:t>
      </w:r>
    </w:p>
    <w:p>
      <w:pPr>
        <w:spacing w:after="160"/>
      </w:pPr>
      <w:r>
        <w:rPr>
          <w:rFonts w:ascii="Calibri" w:cs="Calibri" w:eastAsia="Calibri" w:hAnsi="Calibri"/>
          <w:b/>
          <w:bCs/>
          <w:color w:val="1A1A1A"/>
          <w:sz w:val="22"/>
          <w:szCs w:val="22"/>
        </w:rPr>
        <w:t xml:space="preserve">Phased, de-risked engagement. </w:t>
      </w:r>
      <w:r>
        <w:rPr>
          <w:rFonts w:ascii="Calibri" w:cs="Calibri" w:eastAsia="Calibri" w:hAnsi="Calibri"/>
          <w:color w:val="5C5C5C"/>
          <w:sz w:val="22"/>
          <w:szCs w:val="22"/>
        </w:rPr>
        <w:t xml:space="preserve">Each phase delivers standalone value. Taylor sees results before committing to the next stage. No multi-year contracts. No lock-in. Prove value, then expand.</w:t>
      </w:r>
    </w:p>
    <w:p>
      <w:r>
        <w:br w:type="page"/>
      </w:r>
    </w:p>
    <w:p>
      <w:pPr>
        <w:spacing w:after="60" w:before="100"/>
      </w:pPr>
      <w:r>
        <w:rPr>
          <w:rFonts w:ascii="Calibri" w:cs="Calibri" w:eastAsia="Calibri" w:hAnsi="Calibri"/>
          <w:b/>
          <w:bCs/>
          <w:color w:val="7A7AE6"/>
          <w:spacing w:val="60"/>
          <w:sz w:val="16"/>
          <w:szCs w:val="16"/>
        </w:rPr>
        <w:t xml:space="preserve">08 — NEXT STEPS</w:t>
      </w:r>
    </w:p>
    <w:p>
      <w:pPr>
        <w:pStyle w:val="Heading1"/>
      </w:pPr>
      <w:r>
        <w:t xml:space="preserve">Moving Forward</w:t>
      </w:r>
    </w:p>
    <w:p>
      <w:pPr>
        <w:spacing w:after="100"/>
      </w:pPr>
    </w:p>
    <w:p>
      <w:pPr>
        <w:pStyle w:val="Heading2"/>
      </w:pPr>
      <w:r>
        <w:t xml:space="preserve">Investment Framework</w:t>
      </w:r>
    </w:p>
    <w:p>
      <w:pPr>
        <w:spacing w:after="160"/>
      </w:pPr>
      <w:r>
        <w:rPr>
          <w:rFonts w:ascii="Calibri" w:cs="Calibri" w:eastAsia="Calibri" w:hAnsi="Calibri"/>
          <w:color w:val="1A1A1A"/>
          <w:sz w:val="22"/>
          <w:szCs w:val="22"/>
        </w:rPr>
        <w:t xml:space="preserve">TransformAZ structures engagements for accountability and de-risked investment. Each phase is scoped, priced, and delivered independently.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600"/>
        <w:gridCol w:w="2960"/>
      </w:tblGrid>
      <w:tr>
        <w:tc>
          <w:tcPr>
            <w:tcW w:type="dxa" w:w="2000"/>
            <w:tcBorders>
              <w:top w:val="none" w:color="FFFFFF" w:sz="0"/>
              <w:left w:val="none" w:color="FFFFFF" w:sz="0"/>
              <w:bottom w:val="single" w:color="1A1A1A" w:sz="4"/>
              <w:right w:val="none" w:color="FFFFFF" w:sz="0"/>
            </w:tcBorders>
            <w:shd w:fill="F4F3F0" w:val="clear"/>
            <w:tcMar>
              <w:top w:type="dxa" w:w="80"/>
              <w:left w:type="dxa" w:w="120"/>
              <w:bottom w:type="dxa" w:w="80"/>
              <w:right w:type="dxa" w:w="120"/>
            </w:tcMar>
          </w:tcPr>
          <w:p>
            <w:r>
              <w:rPr>
                <w:rFonts w:ascii="Calibri" w:cs="Calibri" w:eastAsia="Calibri" w:hAnsi="Calibri"/>
                <w:b/>
                <w:bCs/>
                <w:color w:val="5C5C5C"/>
                <w:spacing w:val="40"/>
                <w:sz w:val="14"/>
                <w:szCs w:val="14"/>
              </w:rPr>
              <w:t xml:space="preserve">PHASE</w:t>
            </w:r>
          </w:p>
        </w:tc>
        <w:tc>
          <w:tcPr>
            <w:tcW w:type="dxa" w:w="1800"/>
            <w:tcBorders>
              <w:top w:val="none" w:color="FFFFFF" w:sz="0"/>
              <w:left w:val="none" w:color="FFFFFF" w:sz="0"/>
              <w:bottom w:val="single" w:color="1A1A1A" w:sz="4"/>
              <w:right w:val="none" w:color="FFFFFF" w:sz="0"/>
            </w:tcBorders>
            <w:shd w:fill="F4F3F0" w:val="clear"/>
            <w:tcMar>
              <w:top w:type="dxa" w:w="80"/>
              <w:left w:type="dxa" w:w="120"/>
              <w:bottom w:type="dxa" w:w="80"/>
              <w:right w:type="dxa" w:w="120"/>
            </w:tcMar>
          </w:tcPr>
          <w:p>
            <w:r>
              <w:rPr>
                <w:rFonts w:ascii="Calibri" w:cs="Calibri" w:eastAsia="Calibri" w:hAnsi="Calibri"/>
                <w:b/>
                <w:bCs/>
                <w:color w:val="5C5C5C"/>
                <w:spacing w:val="40"/>
                <w:sz w:val="14"/>
                <w:szCs w:val="14"/>
              </w:rPr>
              <w:t xml:space="preserve">DURATION</w:t>
            </w:r>
          </w:p>
        </w:tc>
        <w:tc>
          <w:tcPr>
            <w:tcW w:type="dxa" w:w="2600"/>
            <w:tcBorders>
              <w:top w:val="none" w:color="FFFFFF" w:sz="0"/>
              <w:left w:val="none" w:color="FFFFFF" w:sz="0"/>
              <w:bottom w:val="single" w:color="1A1A1A" w:sz="4"/>
              <w:right w:val="none" w:color="FFFFFF" w:sz="0"/>
            </w:tcBorders>
            <w:shd w:fill="F4F3F0" w:val="clear"/>
            <w:tcMar>
              <w:top w:type="dxa" w:w="80"/>
              <w:left w:type="dxa" w:w="120"/>
              <w:bottom w:type="dxa" w:w="80"/>
              <w:right w:type="dxa" w:w="120"/>
            </w:tcMar>
          </w:tcPr>
          <w:p>
            <w:r>
              <w:rPr>
                <w:rFonts w:ascii="Calibri" w:cs="Calibri" w:eastAsia="Calibri" w:hAnsi="Calibri"/>
                <w:b/>
                <w:bCs/>
                <w:color w:val="5C5C5C"/>
                <w:spacing w:val="40"/>
                <w:sz w:val="14"/>
                <w:szCs w:val="14"/>
              </w:rPr>
              <w:t xml:space="preserve">FORMAT</w:t>
            </w:r>
          </w:p>
        </w:tc>
        <w:tc>
          <w:tcPr>
            <w:tcW w:type="dxa" w:w="2960"/>
            <w:tcBorders>
              <w:top w:val="none" w:color="FFFFFF" w:sz="0"/>
              <w:left w:val="none" w:color="FFFFFF" w:sz="0"/>
              <w:bottom w:val="single" w:color="1A1A1A" w:sz="4"/>
              <w:right w:val="none" w:color="FFFFFF" w:sz="0"/>
            </w:tcBorders>
            <w:shd w:fill="F4F3F0" w:val="clear"/>
            <w:tcMar>
              <w:top w:type="dxa" w:w="80"/>
              <w:left w:type="dxa" w:w="120"/>
              <w:bottom w:type="dxa" w:w="80"/>
              <w:right w:type="dxa" w:w="120"/>
            </w:tcMar>
          </w:tcPr>
          <w:p>
            <w:r>
              <w:rPr>
                <w:rFonts w:ascii="Calibri" w:cs="Calibri" w:eastAsia="Calibri" w:hAnsi="Calibri"/>
                <w:b/>
                <w:bCs/>
                <w:color w:val="5C5C5C"/>
                <w:spacing w:val="40"/>
                <w:sz w:val="14"/>
                <w:szCs w:val="14"/>
              </w:rPr>
              <w:t xml:space="preserve">INVESTMENT MODEL</w:t>
            </w:r>
          </w:p>
        </w:tc>
      </w:tr>
      <w:tr>
        <w:tc>
          <w:tcPr>
            <w:tcW w:type="dxa" w:w="2000"/>
            <w:tcBorders>
              <w:top w:val="none" w:color="FFFFFF" w:sz="0"/>
              <w:left w:val="single" w:color="2C5282" w:sz="8"/>
              <w:bottom w:val="single" w:color="D5D5D5" w:sz="1"/>
              <w:right w:val="none" w:color="FFFFFF" w:sz="0"/>
            </w:tcBorders>
            <w:tcMar>
              <w:top w:type="dxa" w:w="80"/>
              <w:left w:type="dxa" w:w="120"/>
              <w:bottom w:type="dxa" w:w="80"/>
              <w:right w:type="dxa" w:w="120"/>
            </w:tcMar>
          </w:tcPr>
          <w:p>
            <w:r>
              <w:rPr>
                <w:rFonts w:ascii="Calibri" w:cs="Calibri" w:eastAsia="Calibri" w:hAnsi="Calibri"/>
                <w:b/>
                <w:bCs/>
                <w:color w:val="2C5282"/>
                <w:sz w:val="20"/>
                <w:szCs w:val="20"/>
              </w:rPr>
              <w:t xml:space="preserve">INTAKE</w:t>
            </w:r>
          </w:p>
        </w:tc>
        <w:tc>
          <w:tcPr>
            <w:tcW w:type="dxa" w:w="1800"/>
            <w:tcBorders>
              <w:top w:val="none" w:color="FFFFFF" w:sz="0"/>
              <w:left w:val="none" w:color="FFFFFF" w:sz="0"/>
              <w:bottom w:val="single" w:color="D5D5D5" w:sz="1"/>
              <w:right w:val="none" w:color="FFFFFF" w:sz="0"/>
            </w:tcBorders>
            <w:tcMar>
              <w:top w:type="dxa" w:w="80"/>
              <w:left w:type="dxa" w:w="120"/>
              <w:bottom w:type="dxa" w:w="80"/>
              <w:right w:type="dxa" w:w="120"/>
            </w:tcMar>
          </w:tcPr>
          <w:p>
            <w:r>
              <w:rPr>
                <w:rFonts w:ascii="Calibri" w:cs="Calibri" w:eastAsia="Calibri" w:hAnsi="Calibri"/>
                <w:color w:val="1A1A1A"/>
                <w:sz w:val="20"/>
                <w:szCs w:val="20"/>
              </w:rPr>
              <w:t xml:space="preserve">6-8 weeks</w:t>
            </w:r>
          </w:p>
        </w:tc>
        <w:tc>
          <w:tcPr>
            <w:tcW w:type="dxa" w:w="2600"/>
            <w:tcBorders>
              <w:top w:val="none" w:color="FFFFFF" w:sz="0"/>
              <w:left w:val="none" w:color="FFFFFF" w:sz="0"/>
              <w:bottom w:val="single" w:color="D5D5D5" w:sz="1"/>
              <w:right w:val="none" w:color="FFFFFF" w:sz="0"/>
            </w:tcBorders>
            <w:tcMar>
              <w:top w:type="dxa" w:w="80"/>
              <w:left w:type="dxa" w:w="120"/>
              <w:bottom w:type="dxa" w:w="80"/>
              <w:right w:type="dxa" w:w="120"/>
            </w:tcMar>
          </w:tcPr>
          <w:p>
            <w:r>
              <w:rPr>
                <w:rFonts w:ascii="Calibri" w:cs="Calibri" w:eastAsia="Calibri" w:hAnsi="Calibri"/>
                <w:color w:val="5C5C5C"/>
                <w:sz w:val="20"/>
                <w:szCs w:val="20"/>
              </w:rPr>
              <w:t xml:space="preserve">Remote</w:t>
            </w:r>
          </w:p>
        </w:tc>
        <w:tc>
          <w:tcPr>
            <w:tcW w:type="dxa" w:w="2960"/>
            <w:tcBorders>
              <w:top w:val="none" w:color="FFFFFF" w:sz="0"/>
              <w:left w:val="none" w:color="FFFFFF" w:sz="0"/>
              <w:bottom w:val="single" w:color="D5D5D5" w:sz="1"/>
              <w:right w:val="none" w:color="FFFFFF" w:sz="0"/>
            </w:tcBorders>
            <w:tcMar>
              <w:top w:type="dxa" w:w="80"/>
              <w:left w:type="dxa" w:w="120"/>
              <w:bottom w:type="dxa" w:w="80"/>
              <w:right w:type="dxa" w:w="120"/>
            </w:tcMar>
          </w:tcPr>
          <w:p>
            <w:r>
              <w:rPr>
                <w:rFonts w:ascii="Calibri" w:cs="Calibri" w:eastAsia="Calibri" w:hAnsi="Calibri"/>
                <w:color w:val="5C5C5C"/>
                <w:sz w:val="20"/>
                <w:szCs w:val="20"/>
              </w:rPr>
              <w:t xml:space="preserve">Fixed project fee</w:t>
            </w:r>
          </w:p>
        </w:tc>
      </w:tr>
      <w:tr>
        <w:tc>
          <w:tcPr>
            <w:tcW w:type="dxa" w:w="2000"/>
            <w:tcBorders>
              <w:top w:val="none" w:color="FFFFFF" w:sz="0"/>
              <w:left w:val="single" w:color="2A7D4F" w:sz="8"/>
              <w:bottom w:val="single" w:color="D5D5D5" w:sz="1"/>
              <w:right w:val="none" w:color="FFFFFF" w:sz="0"/>
            </w:tcBorders>
            <w:tcMar>
              <w:top w:type="dxa" w:w="80"/>
              <w:left w:type="dxa" w:w="120"/>
              <w:bottom w:type="dxa" w:w="80"/>
              <w:right w:type="dxa" w:w="120"/>
            </w:tcMar>
          </w:tcPr>
          <w:p>
            <w:r>
              <w:rPr>
                <w:rFonts w:ascii="Calibri" w:cs="Calibri" w:eastAsia="Calibri" w:hAnsi="Calibri"/>
                <w:b/>
                <w:bCs/>
                <w:color w:val="2A7D4F"/>
                <w:sz w:val="20"/>
                <w:szCs w:val="20"/>
              </w:rPr>
              <w:t xml:space="preserve">DISCOVERY</w:t>
            </w:r>
          </w:p>
        </w:tc>
        <w:tc>
          <w:tcPr>
            <w:tcW w:type="dxa" w:w="1800"/>
            <w:tcBorders>
              <w:top w:val="none" w:color="FFFFFF" w:sz="0"/>
              <w:left w:val="none" w:color="FFFFFF" w:sz="0"/>
              <w:bottom w:val="single" w:color="D5D5D5" w:sz="1"/>
              <w:right w:val="none" w:color="FFFFFF" w:sz="0"/>
            </w:tcBorders>
            <w:tcMar>
              <w:top w:type="dxa" w:w="80"/>
              <w:left w:type="dxa" w:w="120"/>
              <w:bottom w:type="dxa" w:w="80"/>
              <w:right w:type="dxa" w:w="120"/>
            </w:tcMar>
          </w:tcPr>
          <w:p>
            <w:r>
              <w:rPr>
                <w:rFonts w:ascii="Calibri" w:cs="Calibri" w:eastAsia="Calibri" w:hAnsi="Calibri"/>
                <w:color w:val="1A1A1A"/>
                <w:sz w:val="20"/>
                <w:szCs w:val="20"/>
              </w:rPr>
              <w:t xml:space="preserve">2 weeks</w:t>
            </w:r>
          </w:p>
        </w:tc>
        <w:tc>
          <w:tcPr>
            <w:tcW w:type="dxa" w:w="2600"/>
            <w:tcBorders>
              <w:top w:val="none" w:color="FFFFFF" w:sz="0"/>
              <w:left w:val="none" w:color="FFFFFF" w:sz="0"/>
              <w:bottom w:val="single" w:color="D5D5D5" w:sz="1"/>
              <w:right w:val="none" w:color="FFFFFF" w:sz="0"/>
            </w:tcBorders>
            <w:tcMar>
              <w:top w:type="dxa" w:w="80"/>
              <w:left w:type="dxa" w:w="120"/>
              <w:bottom w:type="dxa" w:w="80"/>
              <w:right w:type="dxa" w:w="120"/>
            </w:tcMar>
          </w:tcPr>
          <w:p>
            <w:r>
              <w:rPr>
                <w:rFonts w:ascii="Calibri" w:cs="Calibri" w:eastAsia="Calibri" w:hAnsi="Calibri"/>
                <w:color w:val="5C5C5C"/>
                <w:sz w:val="20"/>
                <w:szCs w:val="20"/>
              </w:rPr>
              <w:t xml:space="preserve">Onsite Toronto + remote</w:t>
            </w:r>
          </w:p>
        </w:tc>
        <w:tc>
          <w:tcPr>
            <w:tcW w:type="dxa" w:w="2960"/>
            <w:tcBorders>
              <w:top w:val="none" w:color="FFFFFF" w:sz="0"/>
              <w:left w:val="none" w:color="FFFFFF" w:sz="0"/>
              <w:bottom w:val="single" w:color="D5D5D5" w:sz="1"/>
              <w:right w:val="none" w:color="FFFFFF" w:sz="0"/>
            </w:tcBorders>
            <w:tcMar>
              <w:top w:type="dxa" w:w="80"/>
              <w:left w:type="dxa" w:w="120"/>
              <w:bottom w:type="dxa" w:w="80"/>
              <w:right w:type="dxa" w:w="120"/>
            </w:tcMar>
          </w:tcPr>
          <w:p>
            <w:r>
              <w:rPr>
                <w:rFonts w:ascii="Calibri" w:cs="Calibri" w:eastAsia="Calibri" w:hAnsi="Calibri"/>
                <w:color w:val="5C5C5C"/>
                <w:sz w:val="20"/>
                <w:szCs w:val="20"/>
              </w:rPr>
              <w:t xml:space="preserve">Fixed project fee</w:t>
            </w:r>
          </w:p>
        </w:tc>
      </w:tr>
      <w:tr>
        <w:tc>
          <w:tcPr>
            <w:tcW w:type="dxa" w:w="2000"/>
            <w:tcBorders>
              <w:top w:val="none" w:color="FFFFFF" w:sz="0"/>
              <w:left w:val="single" w:color="7A7AE6" w:sz="8"/>
              <w:bottom w:val="single" w:color="D5D5D5" w:sz="1"/>
              <w:right w:val="none" w:color="FFFFFF" w:sz="0"/>
            </w:tcBorders>
            <w:tcMar>
              <w:top w:type="dxa" w:w="80"/>
              <w:left w:type="dxa" w:w="120"/>
              <w:bottom w:type="dxa" w:w="80"/>
              <w:right w:type="dxa" w:w="120"/>
            </w:tcMar>
          </w:tcPr>
          <w:p>
            <w:r>
              <w:rPr>
                <w:rFonts w:ascii="Calibri" w:cs="Calibri" w:eastAsia="Calibri" w:hAnsi="Calibri"/>
                <w:b/>
                <w:bCs/>
                <w:color w:val="7A7AE6"/>
                <w:sz w:val="20"/>
                <w:szCs w:val="20"/>
              </w:rPr>
              <w:t xml:space="preserve">IMPLEMENTATION</w:t>
            </w:r>
          </w:p>
        </w:tc>
        <w:tc>
          <w:tcPr>
            <w:tcW w:type="dxa" w:w="1800"/>
            <w:tcBorders>
              <w:top w:val="none" w:color="FFFFFF" w:sz="0"/>
              <w:left w:val="none" w:color="FFFFFF" w:sz="0"/>
              <w:bottom w:val="single" w:color="D5D5D5" w:sz="1"/>
              <w:right w:val="none" w:color="FFFFFF" w:sz="0"/>
            </w:tcBorders>
            <w:tcMar>
              <w:top w:type="dxa" w:w="80"/>
              <w:left w:type="dxa" w:w="120"/>
              <w:bottom w:type="dxa" w:w="80"/>
              <w:right w:type="dxa" w:w="120"/>
            </w:tcMar>
          </w:tcPr>
          <w:p>
            <w:r>
              <w:rPr>
                <w:rFonts w:ascii="Calibri" w:cs="Calibri" w:eastAsia="Calibri" w:hAnsi="Calibri"/>
                <w:color w:val="1A1A1A"/>
                <w:sz w:val="20"/>
                <w:szCs w:val="20"/>
              </w:rPr>
              <w:t xml:space="preserve">16 weeks</w:t>
            </w:r>
          </w:p>
        </w:tc>
        <w:tc>
          <w:tcPr>
            <w:tcW w:type="dxa" w:w="2600"/>
            <w:tcBorders>
              <w:top w:val="none" w:color="FFFFFF" w:sz="0"/>
              <w:left w:val="none" w:color="FFFFFF" w:sz="0"/>
              <w:bottom w:val="single" w:color="D5D5D5" w:sz="1"/>
              <w:right w:val="none" w:color="FFFFFF" w:sz="0"/>
            </w:tcBorders>
            <w:tcMar>
              <w:top w:type="dxa" w:w="80"/>
              <w:left w:type="dxa" w:w="120"/>
              <w:bottom w:type="dxa" w:w="80"/>
              <w:right w:type="dxa" w:w="120"/>
            </w:tcMar>
          </w:tcPr>
          <w:p>
            <w:r>
              <w:rPr>
                <w:rFonts w:ascii="Calibri" w:cs="Calibri" w:eastAsia="Calibri" w:hAnsi="Calibri"/>
                <w:color w:val="5C5C5C"/>
                <w:sz w:val="20"/>
                <w:szCs w:val="20"/>
              </w:rPr>
              <w:t xml:space="preserve">Hybrid</w:t>
            </w:r>
          </w:p>
        </w:tc>
        <w:tc>
          <w:tcPr>
            <w:tcW w:type="dxa" w:w="2960"/>
            <w:tcBorders>
              <w:top w:val="none" w:color="FFFFFF" w:sz="0"/>
              <w:left w:val="none" w:color="FFFFFF" w:sz="0"/>
              <w:bottom w:val="single" w:color="D5D5D5" w:sz="1"/>
              <w:right w:val="none" w:color="FFFFFF" w:sz="0"/>
            </w:tcBorders>
            <w:tcMar>
              <w:top w:type="dxa" w:w="80"/>
              <w:left w:type="dxa" w:w="120"/>
              <w:bottom w:type="dxa" w:w="80"/>
              <w:right w:type="dxa" w:w="120"/>
            </w:tcMar>
          </w:tcPr>
          <w:p>
            <w:r>
              <w:rPr>
                <w:rFonts w:ascii="Calibri" w:cs="Calibri" w:eastAsia="Calibri" w:hAnsi="Calibri"/>
                <w:color w:val="5C5C5C"/>
                <w:sz w:val="20"/>
                <w:szCs w:val="20"/>
              </w:rPr>
              <w:t xml:space="preserve">Monthly retainer with defined deliverables</w:t>
            </w:r>
          </w:p>
        </w:tc>
      </w:tr>
      <w:tr>
        <w:tc>
          <w:tcPr>
            <w:tcW w:type="dxa" w:w="2000"/>
            <w:tcBorders>
              <w:top w:val="none" w:color="FFFFFF" w:sz="0"/>
              <w:left w:val="single" w:color="9A6F1E" w:sz="8"/>
              <w:bottom w:val="single" w:color="D5D5D5" w:sz="1"/>
              <w:right w:val="none" w:color="FFFFFF" w:sz="0"/>
            </w:tcBorders>
            <w:tcMar>
              <w:top w:type="dxa" w:w="80"/>
              <w:left w:type="dxa" w:w="120"/>
              <w:bottom w:type="dxa" w:w="80"/>
              <w:right w:type="dxa" w:w="120"/>
            </w:tcMar>
          </w:tcPr>
          <w:p>
            <w:r>
              <w:rPr>
                <w:rFonts w:ascii="Calibri" w:cs="Calibri" w:eastAsia="Calibri" w:hAnsi="Calibri"/>
                <w:b/>
                <w:bCs/>
                <w:color w:val="9A6F1E"/>
                <w:sz w:val="20"/>
                <w:szCs w:val="20"/>
              </w:rPr>
              <w:t xml:space="preserve">STABILIZATION</w:t>
            </w:r>
          </w:p>
        </w:tc>
        <w:tc>
          <w:tcPr>
            <w:tcW w:type="dxa" w:w="1800"/>
            <w:tcBorders>
              <w:top w:val="none" w:color="FFFFFF" w:sz="0"/>
              <w:left w:val="none" w:color="FFFFFF" w:sz="0"/>
              <w:bottom w:val="single" w:color="D5D5D5" w:sz="1"/>
              <w:right w:val="none" w:color="FFFFFF" w:sz="0"/>
            </w:tcBorders>
            <w:tcMar>
              <w:top w:type="dxa" w:w="80"/>
              <w:left w:type="dxa" w:w="120"/>
              <w:bottom w:type="dxa" w:w="80"/>
              <w:right w:type="dxa" w:w="120"/>
            </w:tcMar>
          </w:tcPr>
          <w:p>
            <w:r>
              <w:rPr>
                <w:rFonts w:ascii="Calibri" w:cs="Calibri" w:eastAsia="Calibri" w:hAnsi="Calibri"/>
                <w:color w:val="1A1A1A"/>
                <w:sz w:val="20"/>
                <w:szCs w:val="20"/>
              </w:rPr>
              <w:t xml:space="preserve">Ongoing</w:t>
            </w:r>
          </w:p>
        </w:tc>
        <w:tc>
          <w:tcPr>
            <w:tcW w:type="dxa" w:w="2600"/>
            <w:tcBorders>
              <w:top w:val="none" w:color="FFFFFF" w:sz="0"/>
              <w:left w:val="none" w:color="FFFFFF" w:sz="0"/>
              <w:bottom w:val="single" w:color="D5D5D5" w:sz="1"/>
              <w:right w:val="none" w:color="FFFFFF" w:sz="0"/>
            </w:tcBorders>
            <w:tcMar>
              <w:top w:type="dxa" w:w="80"/>
              <w:left w:type="dxa" w:w="120"/>
              <w:bottom w:type="dxa" w:w="80"/>
              <w:right w:type="dxa" w:w="120"/>
            </w:tcMar>
          </w:tcPr>
          <w:p>
            <w:r>
              <w:rPr>
                <w:rFonts w:ascii="Calibri" w:cs="Calibri" w:eastAsia="Calibri" w:hAnsi="Calibri"/>
                <w:color w:val="5C5C5C"/>
                <w:sz w:val="20"/>
                <w:szCs w:val="20"/>
              </w:rPr>
              <w:t xml:space="preserve">Remote</w:t>
            </w:r>
          </w:p>
        </w:tc>
        <w:tc>
          <w:tcPr>
            <w:tcW w:type="dxa" w:w="2960"/>
            <w:tcBorders>
              <w:top w:val="none" w:color="FFFFFF" w:sz="0"/>
              <w:left w:val="none" w:color="FFFFFF" w:sz="0"/>
              <w:bottom w:val="single" w:color="D5D5D5" w:sz="1"/>
              <w:right w:val="none" w:color="FFFFFF" w:sz="0"/>
            </w:tcBorders>
            <w:tcMar>
              <w:top w:type="dxa" w:w="80"/>
              <w:left w:type="dxa" w:w="120"/>
              <w:bottom w:type="dxa" w:w="80"/>
              <w:right w:type="dxa" w:w="120"/>
            </w:tcMar>
          </w:tcPr>
          <w:p>
            <w:r>
              <w:rPr>
                <w:rFonts w:ascii="Calibri" w:cs="Calibri" w:eastAsia="Calibri" w:hAnsi="Calibri"/>
                <w:color w:val="5C5C5C"/>
                <w:sz w:val="20"/>
                <w:szCs w:val="20"/>
              </w:rPr>
              <w:t xml:space="preserve">Advisory retainer</w:t>
            </w:r>
          </w:p>
        </w:tc>
      </w:tr>
    </w:tbl>
    <w:p>
      <w:pPr>
        <w:spacing w:after="100"/>
      </w:pPr>
    </w:p>
    <w:p>
      <w:pPr>
        <w:spacing w:after="160"/>
      </w:pPr>
      <w:r>
        <w:rPr>
          <w:rFonts w:ascii="Calibri" w:cs="Calibri" w:eastAsia="Calibri" w:hAnsi="Calibri"/>
          <w:color w:val="5C5C5C"/>
          <w:sz w:val="22"/>
          <w:szCs w:val="22"/>
        </w:rPr>
        <w:t xml:space="preserve">Specific investment figures are developed after INTAKE scoping confirms the precise workstreams and team requirements.</w:t>
      </w:r>
    </w:p>
    <w:p>
      <w:pPr>
        <w:spacing w:after="200"/>
      </w:pPr>
    </w:p>
    <w:p>
      <w:pPr>
        <w:pStyle w:val="Heading2"/>
      </w:pPr>
      <w:r>
        <w:t xml:space="preserve">What Taylor Gets in Each Phase</w:t>
      </w:r>
    </w:p>
    <w:p>
      <w:pPr>
        <w:spacing w:after="60"/>
      </w:pPr>
    </w:p>
    <w:p>
      <w:pPr>
        <w:pStyle w:val="ListParagraph"/>
        <w:numPr>
          <w:ilvl w:val="0"/>
          <w:numId w:val="2"/>
        </w:numPr>
        <w:spacing w:after="80"/>
      </w:pPr>
      <w:r>
        <w:rPr>
          <w:rFonts w:ascii="Calibri" w:cs="Calibri" w:eastAsia="Calibri" w:hAnsi="Calibri"/>
          <w:b/>
          <w:bCs/>
          <w:color w:val="1A1A1A"/>
          <w:sz w:val="22"/>
          <w:szCs w:val="22"/>
        </w:rPr>
        <w:t xml:space="preserve">INTAKE delivers: </w:t>
      </w:r>
      <w:r>
        <w:rPr>
          <w:rFonts w:ascii="Calibri" w:cs="Calibri" w:eastAsia="Calibri" w:hAnsi="Calibri"/>
          <w:color w:val="5C5C5C"/>
          <w:sz w:val="22"/>
          <w:szCs w:val="22"/>
        </w:rPr>
        <w:t xml:space="preserve">Current-state assessment, technology audit, stakeholder map, workstream recommendations, and scoped proposal for next phases with defined deliverables and pricing.</w:t>
      </w:r>
    </w:p>
    <w:p>
      <w:pPr>
        <w:pStyle w:val="ListParagraph"/>
        <w:numPr>
          <w:ilvl w:val="0"/>
          <w:numId w:val="2"/>
        </w:numPr>
        <w:spacing w:after="80"/>
      </w:pPr>
      <w:r>
        <w:rPr>
          <w:rFonts w:ascii="Calibri" w:cs="Calibri" w:eastAsia="Calibri" w:hAnsi="Calibri"/>
          <w:b/>
          <w:bCs/>
          <w:color w:val="1A1A1A"/>
          <w:sz w:val="22"/>
          <w:szCs w:val="22"/>
        </w:rPr>
        <w:t xml:space="preserve">DISCOVERY delivers: </w:t>
      </w:r>
      <w:r>
        <w:rPr>
          <w:rFonts w:ascii="Calibri" w:cs="Calibri" w:eastAsia="Calibri" w:hAnsi="Calibri"/>
          <w:color w:val="5C5C5C"/>
          <w:sz w:val="22"/>
          <w:szCs w:val="22"/>
        </w:rPr>
        <w:t xml:space="preserve">Process maps, capability assessment, AI readiness evaluation, quick-win identification, and implementation roadmap validated onsite.</w:t>
      </w:r>
    </w:p>
    <w:p>
      <w:pPr>
        <w:pStyle w:val="ListParagraph"/>
        <w:numPr>
          <w:ilvl w:val="0"/>
          <w:numId w:val="2"/>
        </w:numPr>
        <w:spacing w:after="80"/>
      </w:pPr>
      <w:r>
        <w:rPr>
          <w:rFonts w:ascii="Calibri" w:cs="Calibri" w:eastAsia="Calibri" w:hAnsi="Calibri"/>
          <w:b/>
          <w:bCs/>
          <w:color w:val="1A1A1A"/>
          <w:sz w:val="22"/>
          <w:szCs w:val="22"/>
        </w:rPr>
        <w:t xml:space="preserve">IMPLEMENTATION delivers: </w:t>
      </w:r>
      <w:r>
        <w:rPr>
          <w:rFonts w:ascii="Calibri" w:cs="Calibri" w:eastAsia="Calibri" w:hAnsi="Calibri"/>
          <w:color w:val="5C5C5C"/>
          <w:sz w:val="22"/>
          <w:szCs w:val="22"/>
        </w:rPr>
        <w:t xml:space="preserve">Activated platforms, built automations, trained champions, documented SOPs, and measurable KPIs.</w:t>
      </w:r>
    </w:p>
    <w:p>
      <w:pPr>
        <w:pStyle w:val="ListParagraph"/>
        <w:numPr>
          <w:ilvl w:val="0"/>
          <w:numId w:val="2"/>
        </w:numPr>
        <w:spacing w:after="80"/>
      </w:pPr>
      <w:r>
        <w:rPr>
          <w:rFonts w:ascii="Calibri" w:cs="Calibri" w:eastAsia="Calibri" w:hAnsi="Calibri"/>
          <w:b/>
          <w:bCs/>
          <w:color w:val="1A1A1A"/>
          <w:sz w:val="22"/>
          <w:szCs w:val="22"/>
        </w:rPr>
        <w:t xml:space="preserve">STABILIZATION delivers: </w:t>
      </w:r>
      <w:r>
        <w:rPr>
          <w:rFonts w:ascii="Calibri" w:cs="Calibri" w:eastAsia="Calibri" w:hAnsi="Calibri"/>
          <w:color w:val="5C5C5C"/>
          <w:sz w:val="22"/>
          <w:szCs w:val="22"/>
        </w:rPr>
        <w:t xml:space="preserve">Adoption monitoring, optimization, quarterly reviews, and knowledge transfer.</w:t>
      </w:r>
    </w:p>
    <w:p>
      <w:pPr>
        <w:spacing w:after="200"/>
      </w:pPr>
    </w:p>
    <w:p>
      <w:pPr>
        <w:pStyle w:val="Heading2"/>
      </w:pPr>
      <w:r>
        <w:t xml:space="preserve">Proposed Next Step</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EDEDFC" w:sz="0"/>
              <w:left w:val="single" w:color="7A7AE6" w:sz="12"/>
              <w:bottom w:val="none" w:color="EDEDFC" w:sz="0"/>
              <w:right w:val="none" w:color="EDEDFC" w:sz="0"/>
            </w:tcBorders>
            <w:shd w:fill="EDEDFC" w:val="clear"/>
            <w:tcMar>
              <w:top w:type="dxa" w:w="120"/>
              <w:left w:type="dxa" w:w="200"/>
              <w:bottom w:type="dxa" w:w="120"/>
              <w:right w:type="dxa" w:w="200"/>
            </w:tcMar>
          </w:tcPr>
          <w:p>
            <w:pPr>
              <w:spacing w:after="60"/>
            </w:pPr>
            <w:r>
              <w:rPr>
                <w:rFonts w:ascii="Calibri" w:cs="Calibri" w:eastAsia="Calibri" w:hAnsi="Calibri"/>
                <w:b/>
                <w:bCs/>
                <w:color w:val="7A7AE6"/>
                <w:spacing w:val="40"/>
                <w:sz w:val="14"/>
                <w:szCs w:val="14"/>
              </w:rPr>
              <w:t xml:space="preserve">PROPOSED NEXT STEP</w:t>
            </w:r>
          </w:p>
          <w:p>
            <w:pPr>
              <w:spacing w:after="80"/>
            </w:pPr>
            <w:r>
              <w:rPr>
                <w:rFonts w:ascii="Calibri" w:cs="Calibri" w:eastAsia="Calibri" w:hAnsi="Calibri"/>
                <w:color w:val="1A1A1A"/>
                <w:sz w:val="20"/>
                <w:szCs w:val="20"/>
              </w:rPr>
              <w:t xml:space="preserve">We propose starting with INTAKE in April 2026. This is a contained, fixed-fee engagement that delivers a comprehensive assessment — with no obligation to proceed further. At the end of INTAKE, Taylor will have:</w:t>
            </w:r>
          </w:p>
          <w:p>
            <w:pPr>
              <w:spacing w:after="80"/>
            </w:pPr>
            <w:r>
              <w:rPr>
                <w:rFonts w:ascii="Calibri" w:cs="Calibri" w:eastAsia="Calibri" w:hAnsi="Calibri"/>
                <w:color w:val="1A1A1A"/>
                <w:sz w:val="20"/>
                <w:szCs w:val="20"/>
              </w:rPr>
              <w:t xml:space="preserve">1. A clear, evidence-based picture of current operations</w:t>
            </w:r>
          </w:p>
          <w:p>
            <w:pPr>
              <w:spacing w:after="80"/>
            </w:pPr>
            <w:r>
              <w:rPr>
                <w:rFonts w:ascii="Calibri" w:cs="Calibri" w:eastAsia="Calibri" w:hAnsi="Calibri"/>
                <w:color w:val="1A1A1A"/>
                <w:sz w:val="20"/>
                <w:szCs w:val="20"/>
              </w:rPr>
              <w:t xml:space="preserve">2. Quantified impact estimates replacing the ranges in this document</w:t>
            </w:r>
          </w:p>
          <w:p>
            <w:pPr>
              <w:spacing w:after="80"/>
            </w:pPr>
            <w:r>
              <w:rPr>
                <w:rFonts w:ascii="Calibri" w:cs="Calibri" w:eastAsia="Calibri" w:hAnsi="Calibri"/>
                <w:color w:val="1A1A1A"/>
                <w:sz w:val="20"/>
                <w:szCs w:val="20"/>
              </w:rPr>
              <w:t xml:space="preserve">3. A prioritized list of quick wins and strategic workstreams</w:t>
            </w:r>
          </w:p>
          <w:p>
            <w:pPr>
              <w:spacing w:after="80"/>
            </w:pPr>
            <w:r>
              <w:rPr>
                <w:rFonts w:ascii="Calibri" w:cs="Calibri" w:eastAsia="Calibri" w:hAnsi="Calibri"/>
                <w:color w:val="1A1A1A"/>
                <w:sz w:val="20"/>
                <w:szCs w:val="20"/>
              </w:rPr>
              <w:t xml:space="preserve">4. A fully scoped and priced proposal for DISCOVERY and IMPLEMENTATION</w:t>
            </w:r>
          </w:p>
        </w:tc>
      </w:tr>
    </w:tbl>
    <w:p>
      <w:pPr>
        <w:spacing w:after="200"/>
      </w:pPr>
    </w:p>
    <w:p>
      <w:pPr>
        <w:spacing w:after="160"/>
      </w:pPr>
      <w:r>
        <w:rPr>
          <w:rFonts w:ascii="Calibri" w:cs="Calibri" w:eastAsia="Calibri" w:hAnsi="Calibri"/>
          <w:color w:val="1A1A1A"/>
          <w:sz w:val="22"/>
          <w:szCs w:val="22"/>
        </w:rPr>
        <w:t xml:space="preserve">To discuss INTAKE scoping and timeline, contact TransformAZ to schedule a 45-minute alignment session.</w:t>
      </w:r>
    </w:p>
    <w:p>
      <w:pPr>
        <w:spacing w:after="600"/>
      </w:pPr>
    </w:p>
    <w:p>
      <w:pPr>
        <w:pBdr>
          <w:top w:val="single" w:color="D5D5D5" w:sz="2" w:space="12"/>
        </w:pBdr>
        <w:spacing w:before="200"/>
        <w:jc w:val="center"/>
      </w:pPr>
      <w:r>
        <w:rPr>
          <w:rFonts w:ascii="Calibri" w:cs="Calibri" w:eastAsia="Calibri" w:hAnsi="Calibri"/>
          <w:color w:val="5C5C5C"/>
          <w:sz w:val="16"/>
          <w:szCs w:val="16"/>
        </w:rPr>
        <w:t xml:space="preserve">TransformAZ — March 2026 — Prepared exclusively for Taylor Group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5C5C"/>
        <w:sz w:val="16"/>
        <w:szCs w:val="16"/>
      </w:rPr>
      <w:t xml:space="preserve">Page </w:t>
    </w:r>
    <w:r>
      <w:rPr>
        <w:rFonts w:ascii="Calibri" w:cs="Calibri" w:eastAsia="Calibri" w:hAnsi="Calibri"/>
        <w:color w:val="5C5C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C5C5C"/>
        <w:sz w:val="16"/>
        <w:szCs w:val="16"/>
      </w:rPr>
      <w:t xml:space="preserve">Transform</w:t>
    </w:r>
    <w:r>
      <w:rPr>
        <w:rFonts w:ascii="Calibri" w:cs="Calibri" w:eastAsia="Calibri" w:hAnsi="Calibri"/>
        <w:b/>
        <w:bCs/>
        <w:color w:val="7A7AE6"/>
        <w:sz w:val="16"/>
        <w:szCs w:val="16"/>
      </w:rPr>
      <w:t xml:space="preserve">AZ</w:t>
    </w:r>
    <w:r>
      <w:rPr>
        <w:rFonts w:ascii="Calibri" w:cs="Calibri" w:eastAsia="Calibri" w:hAnsi="Calibri"/>
        <w:color w:val="5C5C5C"/>
        <w:sz w:val="16"/>
        <w:szCs w:val="16"/>
      </w:rPr>
      <w:t xml:space="preserve">  |  Taylor Group  |  Strategic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Georgia" w:cs="Georgia" w:eastAsia="Georgia" w:hAnsi="Georgia"/>
      <w:b/>
      <w:bCs/>
      <w:color w:val="1A1A1A"/>
      <w:sz w:val="36"/>
      <w:szCs w:val="36"/>
    </w:rPr>
  </w:style>
  <w:style w:type="paragraph" w:styleId="Heading2">
    <w:name w:val="Heading 2"/>
    <w:basedOn w:val="Normal"/>
    <w:next w:val="Normal"/>
    <w:qFormat/>
    <w:pPr>
      <w:spacing w:after="120" w:before="240"/>
      <w:outlineLvl w:val="1"/>
    </w:pPr>
    <w:rPr>
      <w:rFonts w:ascii="Georgia" w:cs="Georgia" w:eastAsia="Georgia" w:hAnsi="Georgia"/>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2026-03-17T10:33:12.976Z</dcterms:created>
  <dcterms:modified xsi:type="dcterms:W3CDTF">2026-03-17T10:33:12.977Z</dcterms:modified>
</cp:coreProperties>
</file>

<file path=docProps/custom.xml><?xml version="1.0" encoding="utf-8"?>
<Properties xmlns="http://schemas.openxmlformats.org/officeDocument/2006/custom-properties" xmlns:vt="http://schemas.openxmlformats.org/officeDocument/2006/docPropsVTypes"/>
</file>