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Финальная правка второй главы: рисунки, ссылки, вывод</w:t>
      </w:r>
    </w:p>
    <w:p>
      <w:pPr>
        <w:pStyle w:val="Callout"/>
        <w:shd w:fill="EFF6FF"/>
        <w:pBdr>
          <w:top w:val="single" w:sz="6" w:space="3" w:color="BFDBFE"/>
          <w:left w:val="single" w:sz="6" w:space="8" w:color="BFDBFE"/>
          <w:bottom w:val="single" w:sz="6" w:space="3" w:color="BFDBFE"/>
          <w:right w:val="single" w:sz="6" w:space="8" w:color="BFDBFE"/>
        </w:pBdr>
      </w:pPr>
      <w:r>
        <w:t>Документ сделан по актуальному файлу «ВКР_3глава.docx». Здесь показано, что конкретно вставить, где сократить и как правильно сослаться на рисунки 1–4 во второй главе.</w:t>
      </w:r>
    </w:p>
    <w:p>
      <w:pPr>
        <w:pStyle w:val="Heading1"/>
      </w:pPr>
      <w:r>
        <w:t>1. Как правильно сослаться на рисунки во второй главе</w:t>
      </w:r>
    </w:p>
    <w:p>
      <w:pPr>
        <w:pStyle w:val="Normal"/>
      </w:pPr>
      <w:r>
        <w:t>Главное правило: ссылка на рисунок должна быть в тексте до самого рисунка или сразу перед ним. Нельзя оставлять подпись к рисунку без поясняющего предложения, потому что тогда рисунок выглядит вставленным случайно.</w:t>
      </w:r>
    </w:p>
    <w:p>
      <w:pPr>
        <w:pStyle w:val="Heading2"/>
      </w:pPr>
      <w:r>
        <w:t>Рисунок 1 — общая структурная схема системы</w:t>
      </w:r>
    </w:p>
    <w:p>
      <w:pPr>
        <w:pStyle w:val="Normal"/>
      </w:pPr>
      <w:r>
        <w:t>Где поставить: в разделе «Обоснование выбранного подхода», после перечисления уровней архитектуры: клиентское приложение, HTTP-контроллеры, сервисный слой, репозитории и база данных.</w:t>
      </w:r>
    </w:p>
    <w:p>
      <w:pPr>
        <w:pStyle w:val="Normal"/>
      </w:pPr>
      <w:r>
        <w:t>Вставить перед рисунком:</w:t>
      </w:r>
    </w:p>
    <w:p>
      <w:pPr>
        <w:pStyle w:val="Callout"/>
        <w:shd w:fill="EFF6FF"/>
        <w:pBdr>
          <w:top w:val="single" w:sz="6" w:space="3" w:color="BFDBFE"/>
          <w:left w:val="single" w:sz="6" w:space="8" w:color="BFDBFE"/>
          <w:bottom w:val="single" w:sz="6" w:space="3" w:color="BFDBFE"/>
          <w:right w:val="single" w:sz="6" w:space="8" w:color="BFDBFE"/>
        </w:pBdr>
      </w:pPr>
      <w:r>
        <w:t>Общая структура проектируемой платформы представлена на рисунке 1. Она отражает разделение системы на клиентский уровень, серверную часть и подсистему хранения данных.</w:t>
      </w:r>
    </w:p>
    <w:p>
      <w:pPr>
        <w:pStyle w:val="Normal"/>
      </w:pPr>
      <w:r>
        <w:t>После рисунка можно оставить твой текущий поясняющий абзац:</w:t>
      </w:r>
    </w:p>
    <w:p>
      <w:pPr>
        <w:pStyle w:val="Callout"/>
        <w:shd w:fill="EFF6FF"/>
        <w:pBdr>
          <w:top w:val="single" w:sz="6" w:space="3" w:color="BFDBFE"/>
          <w:left w:val="single" w:sz="6" w:space="8" w:color="BFDBFE"/>
          <w:bottom w:val="single" w:sz="6" w:space="3" w:color="BFDBFE"/>
          <w:right w:val="single" w:sz="6" w:space="8" w:color="BFDBFE"/>
        </w:pBdr>
      </w:pPr>
      <w:r>
        <w:t>На рисунке 1 показана общая структура проектируемой платформы. Пользователь работает с клиентским приложением, которое отправляет HTTP-запросы к серверной части. Сервер обрабатывает запросы через контроллеры, передаёт данные в сервисы и при необходимости обращается к базе данных через репозитории. Такой путь отражает основную идею выбранной архитектуры: интерфейс не работает с базой данных напрямую, а все значимые решения проходят через серверную логику.</w:t>
      </w:r>
    </w:p>
    <w:p>
      <w:pPr>
        <w:pStyle w:val="Heading2"/>
      </w:pPr>
      <w:r>
        <w:t>Рисунок 2 — ER-диаграмма</w:t>
      </w:r>
    </w:p>
    <w:p>
      <w:pPr>
        <w:pStyle w:val="Normal"/>
      </w:pPr>
      <w:r>
        <w:t>Где поставить: в разделе «Проектирование хранения данных», сразу после абзаца о сущностях users, courses, enrollments, lessons, materials, tests, questions, answers и attempts.</w:t>
      </w:r>
    </w:p>
    <w:p>
      <w:pPr>
        <w:pStyle w:val="Normal"/>
      </w:pPr>
      <w:r>
        <w:t>Вставить перед рисунком:</w:t>
      </w:r>
    </w:p>
    <w:p>
      <w:pPr>
        <w:pStyle w:val="Callout"/>
        <w:shd w:fill="EFF6FF"/>
        <w:pBdr>
          <w:top w:val="single" w:sz="6" w:space="3" w:color="BFDBFE"/>
          <w:left w:val="single" w:sz="6" w:space="8" w:color="BFDBFE"/>
          <w:bottom w:val="single" w:sz="6" w:space="3" w:color="BFDBFE"/>
          <w:right w:val="single" w:sz="6" w:space="8" w:color="BFDBFE"/>
        </w:pBdr>
      </w:pPr>
      <w:r>
        <w:t>Логические связи между основными сущностями платформы показаны на ER-диаграмме, представленной на рисунке 2.</w:t>
      </w:r>
    </w:p>
    <w:p>
      <w:pPr>
        <w:pStyle w:val="Normal"/>
      </w:pPr>
      <w:r>
        <w:t>После рисунка можно дать короткое пояснение:</w:t>
      </w:r>
    </w:p>
    <w:p>
      <w:pPr>
        <w:pStyle w:val="Callout"/>
        <w:shd w:fill="EFF6FF"/>
        <w:pBdr>
          <w:top w:val="single" w:sz="6" w:space="3" w:color="BFDBFE"/>
          <w:left w:val="single" w:sz="6" w:space="8" w:color="BFDBFE"/>
          <w:bottom w:val="single" w:sz="6" w:space="3" w:color="BFDBFE"/>
          <w:right w:val="single" w:sz="6" w:space="8" w:color="BFDBFE"/>
        </w:pBdr>
      </w:pPr>
      <w:r>
        <w:t>Из диаграммы видно, что центральной сущностью учебного процесса является курс. С ним связаны преподаватель, уроки, материалы, тесты и записи студентов. Результаты тестирования фиксируются отдельно в виде попыток прохождения, что позволяет хранить историю результатов без изменения структуры самого теста.</w:t>
      </w:r>
    </w:p>
    <w:p>
      <w:pPr>
        <w:pStyle w:val="Heading2"/>
      </w:pPr>
      <w:r>
        <w:t>Рисунок 3 — схема обработки пользовательского запроса</w:t>
      </w:r>
    </w:p>
    <w:p>
      <w:pPr>
        <w:pStyle w:val="Normal"/>
      </w:pPr>
      <w:r>
        <w:t>Где поставить: в разделе «Архитектура и логика работы системы», после абзаца о последовательности обработки действия пользователя.</w:t>
      </w:r>
    </w:p>
    <w:p>
      <w:pPr>
        <w:pStyle w:val="Normal"/>
      </w:pPr>
      <w:r>
        <w:t>Вставить перед рисунком:</w:t>
      </w:r>
    </w:p>
    <w:p>
      <w:pPr>
        <w:pStyle w:val="Callout"/>
        <w:shd w:fill="EFF6FF"/>
        <w:pBdr>
          <w:top w:val="single" w:sz="6" w:space="3" w:color="BFDBFE"/>
          <w:left w:val="single" w:sz="6" w:space="8" w:color="BFDBFE"/>
          <w:bottom w:val="single" w:sz="6" w:space="3" w:color="BFDBFE"/>
          <w:right w:val="single" w:sz="6" w:space="8" w:color="BFDBFE"/>
        </w:pBdr>
      </w:pPr>
      <w:r>
        <w:t>Обобщённая последовательность обработки пользовательского запроса показана на рисунке 3.</w:t>
      </w:r>
    </w:p>
    <w:p>
      <w:pPr>
        <w:pStyle w:val="Normal"/>
      </w:pPr>
      <w:r>
        <w:t>После рисунка можно оставить или добавить короткое пояснение:</w:t>
      </w:r>
    </w:p>
    <w:p>
      <w:pPr>
        <w:pStyle w:val="Callout"/>
        <w:shd w:fill="EFF6FF"/>
        <w:pBdr>
          <w:top w:val="single" w:sz="6" w:space="3" w:color="BFDBFE"/>
          <w:left w:val="single" w:sz="6" w:space="8" w:color="BFDBFE"/>
          <w:bottom w:val="single" w:sz="6" w:space="3" w:color="BFDBFE"/>
          <w:right w:val="single" w:sz="6" w:space="8" w:color="BFDBFE"/>
        </w:pBdr>
      </w:pPr>
      <w:r>
        <w:t>Данная схема показывает, что пользовательский запрос проходит через несколько уровней: клиентский интерфейс, HTTP-обработчик, сервисный слой и репозиторий. Благодаря этому интерфейс не содержит бизнес-логику, а сервисы не зависят от конкретных визуальных элементов приложения.</w:t>
      </w:r>
    </w:p>
    <w:p>
      <w:pPr>
        <w:pStyle w:val="Heading2"/>
      </w:pPr>
      <w:r>
        <w:t>Рисунок 4 — блок-схема прохождения тестирования</w:t>
      </w:r>
    </w:p>
    <w:p>
      <w:pPr>
        <w:pStyle w:val="Normal"/>
      </w:pPr>
      <w:r>
        <w:t>Сейчас рисунок 4 стоит после блока про хранение данных. Его лучше переместить выше — в раздел «Ролевая модель и функциональные подсистемы платформы», сразу после абзаца про подсистему тестирования.</w:t>
      </w:r>
    </w:p>
    <w:p>
      <w:pPr>
        <w:pStyle w:val="Normal"/>
      </w:pPr>
      <w:r>
        <w:t>Вставить перед рисунком:</w:t>
      </w:r>
    </w:p>
    <w:p>
      <w:pPr>
        <w:pStyle w:val="Callout"/>
        <w:shd w:fill="EFF6FF"/>
        <w:pBdr>
          <w:top w:val="single" w:sz="6" w:space="3" w:color="BFDBFE"/>
          <w:left w:val="single" w:sz="6" w:space="8" w:color="BFDBFE"/>
          <w:bottom w:val="single" w:sz="6" w:space="3" w:color="BFDBFE"/>
          <w:right w:val="single" w:sz="6" w:space="8" w:color="BFDBFE"/>
        </w:pBdr>
      </w:pPr>
      <w:r>
        <w:t>Последовательность прохождения теста и сохранения результата представлена на рисунке 4.</w:t>
      </w:r>
    </w:p>
    <w:p>
      <w:pPr>
        <w:pStyle w:val="Normal"/>
      </w:pPr>
      <w:r>
        <w:t>После рисунка добавить пояснение:</w:t>
      </w:r>
    </w:p>
    <w:p>
      <w:pPr>
        <w:pStyle w:val="Callout"/>
        <w:shd w:fill="EFF6FF"/>
        <w:pBdr>
          <w:top w:val="single" w:sz="6" w:space="3" w:color="BFDBFE"/>
          <w:left w:val="single" w:sz="6" w:space="8" w:color="BFDBFE"/>
          <w:bottom w:val="single" w:sz="6" w:space="3" w:color="BFDBFE"/>
          <w:right w:val="single" w:sz="6" w:space="8" w:color="BFDBFE"/>
        </w:pBdr>
      </w:pPr>
      <w:r>
        <w:t>Блок-схема отражает общий порядок работы подсистемы тестирования: студент открывает доступный тест, выбирает ответы, отправляет результат на сервер, после чего сервер выполняет проверку и сохраняет попытку прохождения. Такой порядок важен для корректности контроля знаний, поскольку правильные ответы остаются на стороне серверной логики.</w:t>
      </w:r>
    </w:p>
    <w:p>
      <w:pPr>
        <w:pStyle w:val="Heading1"/>
      </w:pPr>
      <w:r>
        <w:t>2. Где добавить ссылки на источники во второй главе</w:t>
      </w:r>
    </w:p>
    <w:p>
      <w:pPr>
        <w:pStyle w:val="Normal"/>
      </w:pPr>
      <w:r>
        <w:t>Ниже приведены места, где ссылки будут выглядеть естественно. Лучше не перегружать каждый абзац ссылками: достаточно, чтобы ключевые архитектурные и технологические утверждения были подтверждены источниками.</w:t>
      </w:r>
    </w:p>
    <w:p>
      <w:pPr>
        <w:pStyle w:val="Heading2"/>
      </w:pPr>
      <w:r>
        <w:t>В разделе «Постановка задачи и требования к системе»</w:t>
      </w:r>
    </w:p>
    <w:p>
      <w:pPr>
        <w:pStyle w:val="Normal"/>
      </w:pPr>
      <w:r>
        <w:t>После абзаца, где говорится о назначении LMS и ролях пользователей, можно добавить ссылку на источники по LMS и цифровому обучению:</w:t>
      </w:r>
    </w:p>
    <w:p>
      <w:pPr>
        <w:pStyle w:val="Callout"/>
        <w:shd w:fill="EFF6FF"/>
        <w:pBdr>
          <w:top w:val="single" w:sz="6" w:space="3" w:color="BFDBFE"/>
          <w:left w:val="single" w:sz="6" w:space="8" w:color="BFDBFE"/>
          <w:bottom w:val="single" w:sz="6" w:space="3" w:color="BFDBFE"/>
          <w:right w:val="single" w:sz="6" w:space="8" w:color="BFDBFE"/>
        </w:pBdr>
      </w:pPr>
      <w:r>
        <w:t>Её назначение состоит в том, чтобы объединить в одной среде основные действия участников учебного процесса: работу с курсами, размещение учебных материалов, прохождение тестов и просмотр результатов обучения [1], [3].</w:t>
      </w:r>
    </w:p>
    <w:p>
      <w:pPr>
        <w:pStyle w:val="Normal"/>
      </w:pPr>
      <w:r>
        <w:t>Если в твоём списке литературы Moodle используется как источник по структуре курсов и ролям, в абзаце про курс и учебный контент можно добавить [7] или [3] — в зависимости от того, как у тебя фактически пронумерован список. Лучше проверить финальную нумерацию после оформления списка литературы.</w:t>
      </w:r>
    </w:p>
    <w:p>
      <w:pPr>
        <w:pStyle w:val="Heading2"/>
      </w:pPr>
      <w:r>
        <w:t>В разделе «Обоснование выбранного подхода»</w:t>
      </w:r>
    </w:p>
    <w:p>
      <w:pPr>
        <w:pStyle w:val="Normal"/>
      </w:pPr>
      <w:r>
        <w:t>Для клиент-серверной и многоуровневой архитектуры оставить ссылки на Филдинга и источники по программной архитектуре:</w:t>
      </w:r>
    </w:p>
    <w:p>
      <w:pPr>
        <w:pStyle w:val="Callout"/>
        <w:shd w:fill="EFF6FF"/>
        <w:pBdr>
          <w:top w:val="single" w:sz="6" w:space="3" w:color="BFDBFE"/>
          <w:left w:val="single" w:sz="6" w:space="8" w:color="BFDBFE"/>
          <w:bottom w:val="single" w:sz="6" w:space="3" w:color="BFDBFE"/>
          <w:right w:val="single" w:sz="6" w:space="8" w:color="BFDBFE"/>
        </w:pBdr>
      </w:pPr>
      <w:r>
        <w:t>Подобное решение соответствует общим принципам построения распределённых систем и многоуровневой программной архитектуры [5], [6], [16].</w:t>
      </w:r>
    </w:p>
    <w:p>
      <w:pPr>
        <w:pStyle w:val="Normal"/>
      </w:pPr>
      <w:r>
        <w:t>Для HTTP лучше использовать источник RFC 9110. В твоём списке литературы он есть, но проверь его итоговый номер. Если текущая нумерация сохранится, это может быть не [18], а другой номер. Формулировка:</w:t>
      </w:r>
    </w:p>
    <w:p>
      <w:pPr>
        <w:pStyle w:val="Callout"/>
        <w:shd w:fill="EFF6FF"/>
        <w:pBdr>
          <w:top w:val="single" w:sz="6" w:space="3" w:color="BFDBFE"/>
          <w:left w:val="single" w:sz="6" w:space="8" w:color="BFDBFE"/>
          <w:bottom w:val="single" w:sz="6" w:space="3" w:color="BFDBFE"/>
          <w:right w:val="single" w:sz="6" w:space="8" w:color="BFDBFE"/>
        </w:pBdr>
      </w:pPr>
      <w:r>
        <w:t>Взаимодействие между клиентом и сервером целесообразно организовать по HTTP, поскольку семантика протокола задаёт понятную модель обработки запросов и ответов [RFC 9110].</w:t>
      </w:r>
    </w:p>
    <w:p>
      <w:pPr>
        <w:pStyle w:val="Normal"/>
      </w:pPr>
      <w:r>
        <w:t>В финальном тексте вместо [RFC 9110] поставь фактический номер этого источника из списка литературы.</w:t>
      </w:r>
    </w:p>
    <w:p>
      <w:pPr>
        <w:pStyle w:val="Normal"/>
      </w:pPr>
      <w:r>
        <w:t>Для JSON использовать RFC 8259:</w:t>
      </w:r>
    </w:p>
    <w:p>
      <w:pPr>
        <w:pStyle w:val="Callout"/>
        <w:shd w:fill="EFF6FF"/>
        <w:pBdr>
          <w:top w:val="single" w:sz="6" w:space="3" w:color="BFDBFE"/>
          <w:left w:val="single" w:sz="6" w:space="8" w:color="BFDBFE"/>
          <w:bottom w:val="single" w:sz="6" w:space="3" w:color="BFDBFE"/>
          <w:right w:val="single" w:sz="6" w:space="8" w:color="BFDBFE"/>
        </w:pBdr>
      </w:pPr>
      <w:r>
        <w:t>В качестве формата обмена данными используется JSON, так как он предназначен для передачи структурированных данных в текстовом виде и не привязан к конкретному языку программирования [RFC 8259].</w:t>
      </w:r>
    </w:p>
    <w:p>
      <w:pPr>
        <w:pStyle w:val="Heading2"/>
      </w:pPr>
      <w:r>
        <w:t>В разделе «Ролевая модель и функциональные подсистемы платформы»</w:t>
      </w:r>
    </w:p>
    <w:p>
      <w:pPr>
        <w:pStyle w:val="Normal"/>
      </w:pPr>
      <w:r>
        <w:t>В абзаце про роли можно добавить ссылку на анализ LMS из первой главы или источники по LMS:</w:t>
      </w:r>
    </w:p>
    <w:p>
      <w:pPr>
        <w:pStyle w:val="Callout"/>
        <w:shd w:fill="EFF6FF"/>
        <w:pBdr>
          <w:top w:val="single" w:sz="6" w:space="3" w:color="BFDBFE"/>
          <w:left w:val="single" w:sz="6" w:space="8" w:color="BFDBFE"/>
          <w:bottom w:val="single" w:sz="6" w:space="3" w:color="BFDBFE"/>
          <w:right w:val="single" w:sz="6" w:space="8" w:color="BFDBFE"/>
        </w:pBdr>
      </w:pPr>
      <w:r>
        <w:t>Такое разделение соответствует типовой логике LMS, где разные категории пользователей работают с курсами, учебными материалами, оцениванием и административными функциями [3], [7].</w:t>
      </w:r>
    </w:p>
    <w:p>
      <w:pPr>
        <w:pStyle w:val="Normal"/>
      </w:pPr>
      <w:r>
        <w:t>В абзаце про тестирование можно добавить ссылку на источники по LMS/оцениванию или Blackboard/Moodle, если они используются в первой главе:</w:t>
      </w:r>
    </w:p>
    <w:p>
      <w:pPr>
        <w:pStyle w:val="Callout"/>
        <w:shd w:fill="EFF6FF"/>
        <w:pBdr>
          <w:top w:val="single" w:sz="6" w:space="3" w:color="BFDBFE"/>
          <w:left w:val="single" w:sz="6" w:space="8" w:color="BFDBFE"/>
          <w:bottom w:val="single" w:sz="6" w:space="3" w:color="BFDBFE"/>
          <w:right w:val="single" w:sz="6" w:space="8" w:color="BFDBFE"/>
        </w:pBdr>
      </w:pPr>
      <w:r>
        <w:t>Подобная организация тестирования соответствует общей практике LMS, где проверка знаний связана с курсом, вопросами, вариантами ответа и сохранением результата прохождения [7], [11].</w:t>
      </w:r>
    </w:p>
    <w:p>
      <w:pPr>
        <w:pStyle w:val="Heading2"/>
      </w:pPr>
      <w:r>
        <w:t>В разделе «Организация клиентского модуля»</w:t>
      </w:r>
    </w:p>
    <w:p>
      <w:pPr>
        <w:pStyle w:val="Normal"/>
      </w:pPr>
      <w:r>
        <w:t>Ссылку на Qt лучше не ставить во второй главе слишком подробно, потому что это уже реализация. Но если оставляешь фразу про настольное приложение, можно сослаться на источник Qt только в общем виде:</w:t>
      </w:r>
    </w:p>
    <w:p>
      <w:pPr>
        <w:pStyle w:val="Callout"/>
        <w:shd w:fill="EFF6FF"/>
        <w:pBdr>
          <w:top w:val="single" w:sz="6" w:space="3" w:color="BFDBFE"/>
          <w:left w:val="single" w:sz="6" w:space="8" w:color="BFDBFE"/>
          <w:bottom w:val="single" w:sz="6" w:space="3" w:color="BFDBFE"/>
          <w:right w:val="single" w:sz="6" w:space="8" w:color="BFDBFE"/>
        </w:pBdr>
      </w:pPr>
      <w:r>
        <w:t>Клиентская часть проектируется как настольное приложение, что позволяет организовать интерфейс с окнами, формами, таблицами и элементами навигации [Qt Documentation].</w:t>
      </w:r>
    </w:p>
    <w:p>
      <w:pPr>
        <w:pStyle w:val="Normal"/>
      </w:pPr>
      <w:r>
        <w:t>В финальном тексте вместо [Qt Documentation] поставь номер источника Qt из списка литературы.</w:t>
      </w:r>
    </w:p>
    <w:p>
      <w:pPr>
        <w:pStyle w:val="Heading2"/>
      </w:pPr>
      <w:r>
        <w:t>В разделе «Проектирование хранения данных»</w:t>
      </w:r>
    </w:p>
    <w:p>
      <w:pPr>
        <w:pStyle w:val="Normal"/>
      </w:pPr>
      <w:r>
        <w:t>Для реляционной модели и ограничений целостности хорошо подходит документация PostgreSQL:</w:t>
      </w:r>
    </w:p>
    <w:p>
      <w:pPr>
        <w:pStyle w:val="Callout"/>
        <w:shd w:fill="EFF6FF"/>
        <w:pBdr>
          <w:top w:val="single" w:sz="6" w:space="3" w:color="BFDBFE"/>
          <w:left w:val="single" w:sz="6" w:space="8" w:color="BFDBFE"/>
          <w:bottom w:val="single" w:sz="6" w:space="3" w:color="BFDBFE"/>
          <w:right w:val="single" w:sz="6" w:space="8" w:color="BFDBFE"/>
        </w:pBdr>
      </w:pPr>
      <w:r>
        <w:t>Для предотвращения несогласованных данных в модели предусматриваются первичные и внешние ключи, ограничения уникальности и каскадное удаление зависимых записей [PostgreSQL Documentation].</w:t>
      </w:r>
    </w:p>
    <w:p>
      <w:pPr>
        <w:pStyle w:val="Normal"/>
      </w:pPr>
      <w:r>
        <w:t>В финальном тексте вместо [PostgreSQL Documentation] поставь номер источника PostgreSQL из списка литературы.</w:t>
      </w:r>
    </w:p>
    <w:p>
      <w:pPr>
        <w:pStyle w:val="Heading1"/>
      </w:pPr>
      <w:r>
        <w:t>3. Финальный вариант блока 2.4–2.6 со ссылками и рисунками</w:t>
      </w:r>
    </w:p>
    <w:p>
      <w:pPr>
        <w:pStyle w:val="Normal"/>
      </w:pPr>
      <w:r>
        <w:t>Если ты уже объединил 2.4–2.8 в три подпункта, то можно использовать этот вариант как финальную основу.</w:t>
      </w:r>
    </w:p>
    <w:p>
      <w:pPr>
        <w:pStyle w:val="Heading2"/>
      </w:pPr>
      <w:r>
        <w:t>2.4 Ролевая модель и функциональные подсистемы платформы</w:t>
      </w:r>
    </w:p>
    <w:p>
      <w:pPr>
        <w:pStyle w:val="Normal"/>
      </w:pPr>
      <w:r>
        <w:t>Одним из основных проектных решений является разделение системы по ролям пользователей. В платформе выделяются студент, преподаватель и администратор. Такое разграничение определяет не только состав доступных экранов, но и набор операций, которые пользователь может выполнять на серверной стороне. Студент работает с доступными курсами, изучает уроки и материалы, проходит тесты и просматривает собственные результаты. Преподаватель отвечает за наполнение курсов, создание учебных материалов и тестов, а также за просмотр результатов обучающихся. Администратор управляет пользователями, ролями и общим состоянием системы. Такое разделение соответствует типовой логике LMS, где разные категории пользователей работают с учебным контентом, оцениванием и административными функциями [3], [7].</w:t>
      </w:r>
    </w:p>
    <w:p>
      <w:pPr>
        <w:pStyle w:val="Normal"/>
      </w:pPr>
      <w:r>
        <w:t>Подсистема аутентификации обеспечивает вход пользователя в систему и определение его роли. После успешной проверки учётных данных последующие действия пользователя выполняются с учётом его полномочий. Проверка доступа должна выполняться централизованно на стороне сервера, поскольку ограничение только на уровне интерфейса не гарантирует защиты данных. Например, студент не должен получать доступ к административным функциям, преподаватель должен работать только со своими курсами, а просмотр результатов должен ограничиваться правами конкретной роли.</w:t>
      </w:r>
    </w:p>
    <w:p>
      <w:pPr>
        <w:pStyle w:val="Normal"/>
      </w:pPr>
      <w:r>
        <w:t>Основной единицей организации обучения в системе является курс. Курс объединяет уроки, материалы и тесты, а также связывается с преподавателем и записанными студентами. На проектном уровне система должна поддерживать создание и изменение курсов, добавление учебного контента, запись студентов и получение сведений об участниках. Для учебных материалов предусматриваются разные типы содержимого: текстовые материалы, ссылки, видео и файлы. Это позволяет использовать платформу не только для хранения простых текстов, но и для более близкой к реальной LMS организации учебного контента [3], [7].</w:t>
      </w:r>
    </w:p>
    <w:p>
      <w:pPr>
        <w:pStyle w:val="Normal"/>
      </w:pPr>
      <w:r>
        <w:t>Подсистема тестирования предназначена для формализованной проверки знаний. Тест связан с курсом и включает вопросы с вариантами ответов. При прохождении теста студент получает только текст вопроса и варианты ответа, без информации о правильном варианте. Проверка результата выполняется на серверной стороне, где хранятся правильные ответы. После отправки ответов система формирует попытку прохождения, сохраняет результат и делает его доступным в соответствии с ролью пользователя: студенту — для просмотра собственной истории, преподавателю — для анализа результатов по своим курсам, администратору — в рамках расширенного контроля системы [7], [11].</w:t>
      </w:r>
    </w:p>
    <w:p>
      <w:pPr>
        <w:pStyle w:val="Normal"/>
      </w:pPr>
      <w:r>
        <w:t>Последовательность прохождения теста и сохранения результата представлена на рисунке 4.</w:t>
      </w:r>
    </w:p>
    <w:p>
      <w:pPr>
        <w:pStyle w:val="Normal"/>
      </w:pPr>
      <w:r>
        <w:t>Рисунок 4 - Блок-схема прохождения тестирования и проверки результата</w:t>
      </w:r>
    </w:p>
    <w:p>
      <w:pPr>
        <w:pStyle w:val="Normal"/>
      </w:pPr>
      <w:r>
        <w:t>Блок-схема отражает общий порядок работы подсистемы тестирования: студент открывает доступный тест, выбирает ответы, отправляет результат на сервер, после чего сервер выполняет проверку и сохраняет попытку прохождения. Такой порядок важен для корректности контроля знаний, поскольку правильные ответы остаются на стороне серверной логики.</w:t>
      </w:r>
    </w:p>
    <w:p>
      <w:pPr>
        <w:pStyle w:val="Normal"/>
      </w:pPr>
      <w:r>
        <w:t>Таким образом, функциональные подсистемы платформы связаны между собой через ролевую модель. Аутентификация определяет пользователя и его права, подсистема курсов задаёт структуру обучения, учебные материалы наполняют курс содержанием, а тестирование фиксирует результаты освоения материала. Такое объединение позволяет рассматривать платформу не как набор отдельных функций, а как целостную систему сопровождения учебного процесса.</w:t>
      </w:r>
    </w:p>
    <w:p>
      <w:pPr>
        <w:pStyle w:val="Heading2"/>
      </w:pPr>
      <w:r>
        <w:t>2.5 Организация клиентского модуля</w:t>
      </w:r>
    </w:p>
    <w:p>
      <w:pPr>
        <w:pStyle w:val="Normal"/>
      </w:pPr>
      <w:r>
        <w:t>Клиентская часть проектируется как настольное приложение, через которое пользователь выполняет основные действия в системе. В интерфейсе должны быть разделены сценарии для разных ролей: студенту доступны курсы, уроки, материалы, тесты и результаты; преподавателю — управление курсами, учебным содержанием, студентами и аналитикой; администратору — управление пользователями и системными данными. Такое разделение делает интерфейс понятнее и уменьшает риск случайного доступа пользователя к неподходящим функциям.</w:t>
      </w:r>
    </w:p>
    <w:p>
      <w:pPr>
        <w:pStyle w:val="Normal"/>
      </w:pPr>
      <w:r>
        <w:t>На проектном уровне клиентский модуль целесообразно разделить на визуальные страницы, модели данных и сетевой слой. Визуальные страницы отвечают за отображение информации и обработку действий пользователя. Модели данных позволяют представить курс, урок, материал, тест, вопрос и результат как отдельные сущности клиента. Сетевой слой отделяет интерфейс от деталей HTTP-взаимодействия с сервером. Благодаря этому изменение структуры API или формата ответа не должно требовать переработки каждой страницы приложения.</w:t>
      </w:r>
    </w:p>
    <w:p>
      <w:pPr>
        <w:pStyle w:val="Normal"/>
      </w:pPr>
      <w:r>
        <w:t>Во второй главе важно зафиксировать именно архитектурный принцип организации клиента. Конкретные классы Qt, структура окон, использование сетевого менеджера, обработка JSON-ответов и наполнение интерфейса данными относятся к программной реализации и рассматриваются в третьей главе.</w:t>
      </w:r>
    </w:p>
    <w:p>
      <w:pPr>
        <w:pStyle w:val="Heading2"/>
      </w:pPr>
      <w:r>
        <w:t>2.6 Проектирование хранения данных</w:t>
      </w:r>
    </w:p>
    <w:p>
      <w:pPr>
        <w:pStyle w:val="Normal"/>
      </w:pPr>
      <w:r>
        <w:t>Для хранения данных платформы используется реляционная модель. Такой подход подходит для LMS, поскольку предметная область состоит из связанных сущностей: пользователей, курсов, записей на курсы, уроков, материалов, тестов, вопросов, вариантов ответов и попыток прохождения. Связи между этими сущностями должны быть явно зафиксированы, чтобы система могла поддерживать целостность данных.</w:t>
      </w:r>
    </w:p>
    <w:p>
      <w:pPr>
        <w:pStyle w:val="Normal"/>
      </w:pPr>
      <w:r>
        <w:t>Логические связи между основными сущностями платформы показаны на ER-диаграмме, представленной на рисунке 2.</w:t>
      </w:r>
    </w:p>
    <w:p>
      <w:pPr>
        <w:pStyle w:val="Normal"/>
      </w:pPr>
      <w:r>
        <w:t>Рисунок 2 - ER-диаграмма</w:t>
      </w:r>
    </w:p>
    <w:p>
      <w:pPr>
        <w:pStyle w:val="Normal"/>
      </w:pPr>
      <w:r>
        <w:t>Из диаграммы видно, что центральной сущностью учебного процесса является курс. С ним связаны преподаватель, уроки, материалы, тесты и записи студентов. Результаты тестирования фиксируются отдельно в виде попыток прохождения, что позволяет хранить историю результатов без изменения структуры самого теста.</w:t>
      </w:r>
    </w:p>
    <w:p>
      <w:pPr>
        <w:pStyle w:val="Normal"/>
      </w:pPr>
      <w:r>
        <w:t>Пользователь связан с ролью и выполняемыми действиями. Курс связан с преподавателем, уроками, материалами, тестами и записанными студентами. Тест связан с вопросами, вопросы — с вариантами ответов, а попытка прохождения связывает конкретного пользователя с конкретным тестом и рассчитанным результатом. Для предотвращения несогласованных данных в модели предусматриваются первичные и внешние ключи, ограничения уникальности и каскадное удаление зависимых записей [PostgreSQL Documentation].</w:t>
      </w:r>
    </w:p>
    <w:p>
      <w:pPr>
        <w:pStyle w:val="Normal"/>
      </w:pPr>
      <w:r>
        <w:t>Репозиторный слой в проектной модели отделяет бизнес-логику от конкретного способа хранения данных. Сервисы работают с операциями предметной области, такими как получение пользователя, загрузка курса, сохранение записи на курс или сохранение результата тестирования, а не с деталями SQL-запросов. Физическая структура таблиц, поля, SQL-скрипты и подключение к PostgreSQL раскрываются в главе программной реализации.</w:t>
      </w:r>
    </w:p>
    <w:p>
      <w:pPr>
        <w:pStyle w:val="Heading1"/>
      </w:pPr>
      <w:r>
        <w:t>4. Что поправить с рисунками 1 и 3 в уже существующем тексте</w:t>
      </w:r>
    </w:p>
    <w:p>
      <w:pPr>
        <w:pStyle w:val="Heading2"/>
      </w:pPr>
      <w:r>
        <w:t>Рисунок 1</w:t>
      </w:r>
    </w:p>
    <w:p>
      <w:pPr>
        <w:pStyle w:val="Normal"/>
      </w:pPr>
      <w:r>
        <w:t>У тебя уже есть хорошее пояснение после рисунка 1. Нужно только убедиться, что перед рисунком есть фраза «Общая структура проектируемой платформы представлена на рисунке 1». Если её нет, добавь её перед подписью.</w:t>
      </w:r>
    </w:p>
    <w:p>
      <w:pPr>
        <w:pStyle w:val="Heading2"/>
      </w:pPr>
      <w:r>
        <w:t>Рисунок 3</w:t>
      </w:r>
    </w:p>
    <w:p>
      <w:pPr>
        <w:pStyle w:val="Normal"/>
      </w:pPr>
      <w:r>
        <w:t>Перед подписью «Рисунок 3 - схема обработки пользовательского запроса в серверной части» добавь фразу:</w:t>
      </w:r>
    </w:p>
    <w:p>
      <w:pPr>
        <w:pStyle w:val="Callout"/>
        <w:shd w:fill="EFF6FF"/>
        <w:pBdr>
          <w:top w:val="single" w:sz="6" w:space="3" w:color="BFDBFE"/>
          <w:left w:val="single" w:sz="6" w:space="8" w:color="BFDBFE"/>
          <w:bottom w:val="single" w:sz="6" w:space="3" w:color="BFDBFE"/>
          <w:right w:val="single" w:sz="6" w:space="8" w:color="BFDBFE"/>
        </w:pBdr>
      </w:pPr>
      <w:r>
        <w:t>Обобщённая последовательность обработки пользовательского запроса показана на рисунке 3.</w:t>
      </w:r>
    </w:p>
    <w:p>
      <w:pPr>
        <w:pStyle w:val="Normal"/>
      </w:pPr>
      <w:r>
        <w:t>После подписи добавь или оставь пояснение:</w:t>
      </w:r>
    </w:p>
    <w:p>
      <w:pPr>
        <w:pStyle w:val="Callout"/>
        <w:shd w:fill="EFF6FF"/>
        <w:pBdr>
          <w:top w:val="single" w:sz="6" w:space="3" w:color="BFDBFE"/>
          <w:left w:val="single" w:sz="6" w:space="8" w:color="BFDBFE"/>
          <w:bottom w:val="single" w:sz="6" w:space="3" w:color="BFDBFE"/>
          <w:right w:val="single" w:sz="6" w:space="8" w:color="BFDBFE"/>
        </w:pBdr>
      </w:pPr>
      <w:r>
        <w:t>Данная схема показывает прохождение запроса через клиентский интерфейс, HTTP-обработчик, сервисный слой и репозиторий. Такое разделение делает путь обработки данных более прозрачным и позволяет не смешивать пользовательский интерфейс с бизнес-логикой и SQL-запросами.</w:t>
      </w:r>
    </w:p>
    <w:p>
      <w:pPr>
        <w:pStyle w:val="Heading1"/>
      </w:pPr>
      <w:r>
        <w:t>5. Сокращённый вывод второй главы</w:t>
      </w:r>
    </w:p>
    <w:p>
      <w:pPr>
        <w:pStyle w:val="Normal"/>
      </w:pPr>
      <w:r>
        <w:t>Текущий вывод второй главы нормальный, но его можно сделать короче. Вместо четырёх абзацев достаточно трёх более плотных.</w:t>
      </w:r>
    </w:p>
    <w:p>
      <w:pPr>
        <w:pStyle w:val="Heading2"/>
      </w:pPr>
      <w:r>
        <w:t>Вставить вместо текущего вывода</w:t>
      </w:r>
    </w:p>
    <w:p>
      <w:pPr>
        <w:pStyle w:val="Callout"/>
        <w:shd w:fill="EFF6FF"/>
        <w:pBdr>
          <w:top w:val="single" w:sz="6" w:space="3" w:color="BFDBFE"/>
          <w:left w:val="single" w:sz="6" w:space="8" w:color="BFDBFE"/>
          <w:bottom w:val="single" w:sz="6" w:space="3" w:color="BFDBFE"/>
          <w:right w:val="single" w:sz="6" w:space="8" w:color="BFDBFE"/>
        </w:pBdr>
      </w:pPr>
      <w:r>
        <w:t>Во второй главе была сформулирована проектная модель платформы дистанционного обучения. Определены основные роли пользователей, функциональные требования и архитектурные решения, необходимые для работы с курсами, учебными материалами, тестированием и результатами обучения.</w:t>
      </w:r>
    </w:p>
    <w:p>
      <w:pPr>
        <w:pStyle w:val="Callout"/>
        <w:shd w:fill="EFF6FF"/>
        <w:pBdr>
          <w:top w:val="single" w:sz="6" w:space="3" w:color="BFDBFE"/>
          <w:left w:val="single" w:sz="6" w:space="8" w:color="BFDBFE"/>
          <w:bottom w:val="single" w:sz="6" w:space="3" w:color="BFDBFE"/>
          <w:right w:val="single" w:sz="6" w:space="8" w:color="BFDBFE"/>
        </w:pBdr>
      </w:pPr>
      <w:r>
        <w:t>Для системы обоснована клиент-серверная архитектура с разделением на клиентский интерфейс, серверную обработку запросов, сервисный слой, репозитории и реляционное хранилище данных. Такое построение позволяет разделить пользовательские сценарии, бизнес-логику и операции с базой данных, что соответствует принципам многоуровневого проектирования программных систем [5], [6], [16].</w:t>
      </w:r>
    </w:p>
    <w:p>
      <w:pPr>
        <w:pStyle w:val="Callout"/>
        <w:shd w:fill="EFF6FF"/>
        <w:pBdr>
          <w:top w:val="single" w:sz="6" w:space="3" w:color="BFDBFE"/>
          <w:left w:val="single" w:sz="6" w:space="8" w:color="BFDBFE"/>
          <w:bottom w:val="single" w:sz="6" w:space="3" w:color="BFDBFE"/>
          <w:right w:val="single" w:sz="6" w:space="8" w:color="BFDBFE"/>
        </w:pBdr>
      </w:pPr>
      <w:r>
        <w:t>Также рассмотрены ролевое разграничение доступа, организация клиентского модуля и логическая модель хранения данных. Полученные проектные решения служат основой для третьей главы, где описывается их программная реализация средствами C++, Qt, PostgreSQL и Docker.</w:t>
      </w:r>
    </w:p>
    <w:p>
      <w:pPr>
        <w:pStyle w:val="Heading1"/>
      </w:pPr>
      <w:r>
        <w:t>6. Важное замечание по нумерации источников</w:t>
      </w:r>
    </w:p>
    <w:p>
      <w:pPr>
        <w:pStyle w:val="Normal"/>
      </w:pPr>
      <w:r>
        <w:t>В текущем документе список литературы содержит похожие или повторяющиеся источники, например Fielding и Bass встречаются дважды. Поэтому перед финальной сдачей нужно проверить, что номера ссылок в тексте совпадают с фактической нумерацией списка литературы.</w:t>
      </w:r>
    </w:p>
    <w:p>
      <w:pPr>
        <w:pStyle w:val="Normal"/>
      </w:pPr>
      <w:r>
        <w:t>Особенно проверь ссылки на:</w:t>
      </w:r>
    </w:p>
    <w:p>
      <w:pPr>
        <w:pStyle w:val="ListParagraph"/>
      </w:pPr>
      <w:r>
        <w:t>• RFC 9110 — для HTTP;</w:t>
      </w:r>
    </w:p>
    <w:p>
      <w:pPr>
        <w:pStyle w:val="ListParagraph"/>
      </w:pPr>
      <w:r>
        <w:t>• RFC 8259 — для JSON;</w:t>
      </w:r>
    </w:p>
    <w:p>
      <w:pPr>
        <w:pStyle w:val="ListParagraph"/>
      </w:pPr>
      <w:r>
        <w:t>• Qt Documentation — для Qt Widgets и QNetworkAccessManager;</w:t>
      </w:r>
    </w:p>
    <w:p>
      <w:pPr>
        <w:pStyle w:val="ListParagraph"/>
      </w:pPr>
      <w:r>
        <w:t>• PostgreSQL Documentation — для ограничений целостности и libpq;</w:t>
      </w:r>
    </w:p>
    <w:p>
      <w:pPr>
        <w:pStyle w:val="ListParagraph"/>
      </w:pPr>
      <w:r>
        <w:t>• Fielding — для REST и клиент-серверной архитектуры;</w:t>
      </w:r>
    </w:p>
    <w:p>
      <w:pPr>
        <w:pStyle w:val="ListParagraph"/>
      </w:pPr>
      <w:r>
        <w:t>• Bass / Sommerville — для программной архитектуры и разделения ответственности.</w:t>
      </w:r>
    </w:p>
    <w:p>
      <w:pPr>
        <w:pStyle w:val="Normal"/>
      </w:pPr>
      <w:r>
        <w:t>Если список литературы будет чиститься от дублей, номера ссылок могут измениться. Лучше сначала привести список литературы к финальному виду, а потом один раз пройтись по всем ссылкам во второй и третьей главах.</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60" w:line="300" w:lineRule="auto"/>
    </w:pPr>
    <w:rPr>
      <w:rFonts w:ascii="Arial" w:hAnsi="Arial"/>
      <w:sz w:val="22"/>
    </w:rPr>
  </w:style>
  <w:style w:type="paragraph" w:styleId="Title">
    <w:name w:val="Title"/>
    <w:basedOn w:val="Normal"/>
    <w:pPr>
      <w:spacing w:after="240"/>
    </w:pPr>
    <w:rPr>
      <w:b/>
      <w:rFonts w:ascii="Arial" w:hAnsi="Arial"/>
      <w:sz w:val="36"/>
    </w:rPr>
  </w:style>
  <w:style w:type="paragraph" w:styleId="Heading1">
    <w:name w:val="heading 1"/>
    <w:basedOn w:val="Normal"/>
    <w:pPr>
      <w:keepNext/>
      <w:spacing w:before="360" w:after="120"/>
    </w:pPr>
    <w:rPr>
      <w:b/>
      <w:rFonts w:ascii="Arial" w:hAnsi="Arial"/>
      <w:color w:val="0F172A"/>
      <w:sz w:val="30"/>
    </w:rPr>
  </w:style>
  <w:style w:type="paragraph" w:styleId="Heading2">
    <w:name w:val="heading 2"/>
    <w:basedOn w:val="Normal"/>
    <w:pPr>
      <w:keepNext/>
      <w:spacing w:before="240" w:after="100"/>
    </w:pPr>
    <w:rPr>
      <w:b/>
      <w:rFonts w:ascii="Arial" w:hAnsi="Arial"/>
      <w:color w:val="1F2937"/>
      <w:sz w:val="25"/>
    </w:rPr>
  </w:style>
  <w:style w:type="paragraph" w:styleId="ListParagraph">
    <w:name w:val="List Paragraph"/>
    <w:basedOn w:val="Normal"/>
    <w:pPr>
      <w:ind w:left="360"/>
      <w:spacing w:after="80" w:line="300" w:lineRule="auto"/>
    </w:pPr>
    <w:rPr>
      <w:rFonts w:ascii="Arial" w:hAnsi="Arial"/>
      <w:sz w:val="22"/>
    </w:rPr>
  </w:style>
  <w:style w:type="paragraph" w:styleId="CodeBlock">
    <w:name w:val="Code Block"/>
    <w:basedOn w:val="Normal"/>
    <w:pPr>
      <w:spacing w:before="80" w:after="160" w:line="240" w:lineRule="auto"/>
    </w:pPr>
    <w:rPr>
      <w:rFonts w:ascii="Courier New" w:hAnsi="Courier New"/>
      <w:sz w:val="19"/>
    </w:rPr>
  </w:style>
  <w:style w:type="paragraph" w:styleId="Callout">
    <w:name w:val="Callout"/>
    <w:basedOn w:val="Normal"/>
    <w:pPr>
      <w:spacing w:before="100" w:after="160"/>
    </w:pPr>
    <w:rPr>
      <w:rFonts w:ascii="Arial" w:hAnsi="Arial"/>
      <w:sz w:val="21"/>
    </w:rPr>
  </w:style>
  <w:style w:type="paragraph" w:styleId="TableHeader">
    <w:name w:val="Table Header"/>
    <w:basedOn w:val="Normal"/>
    <w:pPr>
      <w:spacing w:after="0" w:line="260" w:lineRule="auto"/>
    </w:pPr>
    <w:rPr>
      <w:b/>
      <w:rFonts w:ascii="Arial" w:hAnsi="Arial"/>
      <w:sz w:val="20"/>
    </w:rPr>
  </w:style>
</w:styles>
</file>

<file path=word/_rels/document.xml.rels><?xml version="1.0" encoding="UTF-8" standalone="yes"?>
<Relationships xmlns="http://schemas.openxmlformats.org/package/2006/relationships"/>
</file>