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Рекомендации по доработке третьей и четвертой глав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Основа анализа: актуальный файл «ВКР_3глава.docx». Рекомендации сформулированы так, чтобы сохранить академический стиль бакалаврской ВКР и не превращать текст в чрезмерно шаблонное описание.</w:t>
      </w:r>
    </w:p>
    <w:p>
      <w:pPr>
        <w:pStyle w:val="Heading1"/>
      </w:pPr>
      <w:r>
        <w:t>Общая оценка</w:t>
      </w:r>
    </w:p>
    <w:p>
      <w:pPr>
        <w:pStyle w:val="Normal"/>
      </w:pPr>
      <w:r>
        <w:t>Третья глава уже выглядит достаточно цельно: в ней описаны выбранные технологии, структура реализации, серверная часть, клиентское приложение, база данных и развёртывание. Основная доработка здесь не в переписывании, а в более ясном связывании реализации с проектными решениями второй главы.</w:t>
      </w:r>
    </w:p>
    <w:p>
      <w:pPr>
        <w:pStyle w:val="Normal"/>
      </w:pPr>
      <w:r>
        <w:t>Четвертая глава содержит рабочую основу для раздела тестирования: есть роли, сценарии, curl-запросы, фактические ответы и итоговая таблица. Однако её стоит сделать немного строже: добавить критерии успешности, убрать локальные детали, привести листинги к единому виду и не показывать в тексте реальные токены как будто это постоянные значения.</w:t>
      </w:r>
    </w:p>
    <w:p>
      <w:pPr>
        <w:pStyle w:val="Heading1"/>
      </w:pPr>
      <w:r>
        <w:t>Третья глава: что добавить</w:t>
      </w:r>
    </w:p>
    <w:p>
      <w:pPr>
        <w:pStyle w:val="Heading2"/>
      </w:pPr>
      <w:r>
        <w:t>1. Вводный абзац перед «Выбор средств реализации»</w:t>
      </w:r>
    </w:p>
    <w:p>
      <w:pPr>
        <w:pStyle w:val="Normal"/>
      </w:pPr>
      <w:r>
        <w:t>Сейчас третья глава почти сразу начинается с перечисления технологий. Лучше добавить короткий переход от второй главы к реализации.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В предыдущей главе была определена проектная модель платформы: роли пользователей, основные подсистемы, структура данных и порядок взаимодействия клиента, сервера и базы данных. В данной главе рассматривается программная реализация этой модели: выбранные средства разработки, структура проекта, реализация серверной части, клиентского приложения, базы данных и механизмов развёртывания.</w:t>
      </w:r>
    </w:p>
    <w:p>
      <w:pPr>
        <w:pStyle w:val="Heading2"/>
      </w:pPr>
      <w:r>
        <w:t>2. Небольшой подраздел или абзац о структуре исходного проекта</w:t>
      </w:r>
    </w:p>
    <w:p>
      <w:pPr>
        <w:pStyle w:val="Normal"/>
      </w:pPr>
      <w:r>
        <w:t>В разделе «Структура программной реализации» полезно добавить не длинный листинг всех файлов, а обзорную схему каталогов. Это поможет показать, что проект организован не хаотично, а по функциональным зонам.</w:t>
      </w:r>
    </w:p>
    <w:p>
      <w:pPr>
        <w:pStyle w:val="Normal"/>
      </w:pPr>
      <w:r>
        <w:t>Можно добавить кратко: серверная часть содержит контроллеры, сервисы, репозитории и модели; клиентская часть содержит окна, страницы, виджеты, модели и ApiClient; скрипты и Docker-файлы отвечают за запуск и развёртывание.</w:t>
      </w:r>
    </w:p>
    <w:p>
      <w:pPr>
        <w:pStyle w:val="Heading2"/>
      </w:pPr>
      <w:r>
        <w:t>3. Связку перед «Реализация серверной части»</w:t>
      </w:r>
    </w:p>
    <w:p>
      <w:pPr>
        <w:pStyle w:val="Normal"/>
      </w:pPr>
      <w:r>
        <w:t>Перед описанием серверной части стоит явно показать, что теперь архитектурные уровни из второй главы рассматриваются уже как программные компоненты.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Если во второй главе контроллеры, сервисы и репозитории рассматривались как архитектурные уровни, то в данном подразделе они описываются как конкретные программные компоненты серверной части.</w:t>
      </w:r>
    </w:p>
    <w:p>
      <w:pPr>
        <w:pStyle w:val="Heading2"/>
      </w:pPr>
      <w:r>
        <w:t>4. Связку перед «Реализация клиентского приложения»</w:t>
      </w:r>
    </w:p>
    <w:p>
      <w:pPr>
        <w:pStyle w:val="Normal"/>
      </w:pPr>
      <w:r>
        <w:t>Клиентская часть хорошо описана, но можно мягко подчеркнуть, что интерфейс реализует сценарии пользователя, а не просто набор окон.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Клиентское приложение реализует пользовательские сценарии, описанные в проектной главе. При этом интерфейс не обращается к серверу напрямую из каждой формы, а использует отдельный сетевой слой, что соответствует выбранному принципу разделения ответственности.</w:t>
      </w:r>
    </w:p>
    <w:p>
      <w:pPr>
        <w:pStyle w:val="Heading2"/>
      </w:pPr>
      <w:r>
        <w:t>5. Уточнение по безопасности</w:t>
      </w:r>
    </w:p>
    <w:p>
      <w:pPr>
        <w:pStyle w:val="Normal"/>
      </w:pPr>
      <w:r>
        <w:t>В третьей главе можно добавить короткую оговорку: текущий механизм токена достаточен для учебного прототипа, но не является промышленной реализацией JWT. Сейчас это уже есть в четвертой главе как ограничение, но в третьей можно аккуратно указать, что основной акцент сделан на архитектурной роли токена.</w:t>
      </w:r>
    </w:p>
    <w:p>
      <w:pPr>
        <w:pStyle w:val="Heading1"/>
      </w:pPr>
      <w:r>
        <w:t>Третья глава: что сократить</w:t>
      </w:r>
    </w:p>
    <w:p>
      <w:pPr>
        <w:pStyle w:val="Heading2"/>
      </w:pPr>
      <w:r>
        <w:t>1. Слишком подробную таблицу структуры реализации</w:t>
      </w:r>
    </w:p>
    <w:p>
      <w:pPr>
        <w:pStyle w:val="Normal"/>
      </w:pPr>
      <w:r>
        <w:t>Таблица с компонентами полезна, но она выглядит объёмной. Если по объёму ВКР начнут просить сократить текст, первым делом можно уменьшить строки таблицы. Например, объединить «HTTP API сервера» и «Слой контроллеров», а также сократить описания входных данных.</w:t>
      </w:r>
    </w:p>
    <w:p>
      <w:pPr>
        <w:pStyle w:val="Heading2"/>
      </w:pPr>
      <w:r>
        <w:t>2. Повторы про Controller — Service — Repository</w:t>
      </w:r>
    </w:p>
    <w:p>
      <w:pPr>
        <w:pStyle w:val="Normal"/>
      </w:pPr>
      <w:r>
        <w:t>Эта мысль встречается несколько раз: в структуре реализации, в серверной части и в выводе. Повтор допустим, но лучше оставить подробное объяснение один раз, а дальше использовать его как уже введённую схему.</w:t>
      </w:r>
    </w:p>
    <w:p>
      <w:pPr>
        <w:pStyle w:val="Heading2"/>
      </w:pPr>
      <w:r>
        <w:t>3. Излишне детальные Docker-пояснения</w:t>
      </w:r>
    </w:p>
    <w:p>
      <w:pPr>
        <w:pStyle w:val="Normal"/>
      </w:pPr>
      <w:r>
        <w:t>Описание Docker Compose полезно, но не стоит слишком подробно объяснять очевидные вещи вроде того, что переменные окружения задают пользователя и пароль. Достаточно показать, что контейнеризация обеспечивает воспроизводимый запуск backend и PostgreSQL.</w:t>
      </w:r>
    </w:p>
    <w:p>
      <w:pPr>
        <w:pStyle w:val="Heading1"/>
      </w:pPr>
      <w:r>
        <w:t>Четвертая глава: что добавить</w:t>
      </w:r>
    </w:p>
    <w:p>
      <w:pPr>
        <w:pStyle w:val="Heading2"/>
      </w:pPr>
      <w:r>
        <w:t>1. Критерии успешного прохождения тестирования</w:t>
      </w:r>
    </w:p>
    <w:p>
      <w:pPr>
        <w:pStyle w:val="Normal"/>
      </w:pPr>
      <w:r>
        <w:t>Перед сценариями стоит добавить короткий абзац с критериями успешности. Это сделает главу более строгой.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Сценарий считался успешно пройденным, если сервер возвращал ожидаемый HTTP-код и JSON-ответ, данные корректно сохранялись в PostgreSQL, а Qt-клиент отображал результат без необходимости перезапуска приложения или ручного обновления данных. Для ошибочных сценариев успешным считался отказ в выполнении операции с понятным сообщением об ошибке.</w:t>
      </w:r>
    </w:p>
    <w:p>
      <w:pPr>
        <w:pStyle w:val="Heading2"/>
      </w:pPr>
      <w:r>
        <w:t>2. Таблицу тестовой среды</w:t>
      </w:r>
    </w:p>
    <w:p>
      <w:pPr>
        <w:pStyle w:val="Normal"/>
      </w:pPr>
      <w:r>
        <w:t>В начале четвертой главы можно добавить небольшую таблицу: компонент, версия или назначение. Например: backend, PostgreSQL, Qt-клиент, Docker Compose, тестовые данные. Это будет выглядеть аккуратнее, чем только текстовое описание среды.</w:t>
      </w:r>
    </w:p>
    <w:p>
      <w:pPr>
        <w:pStyle w:val="Heading2"/>
      </w:pPr>
      <w:r>
        <w:t>3. Отдельный сценарий проверки разграничения прав</w:t>
      </w:r>
    </w:p>
    <w:p>
      <w:pPr>
        <w:pStyle w:val="Normal"/>
      </w:pPr>
      <w:r>
        <w:t>Сейчас разграничение прав упоминается в методике и внутри сценариев. Лучше выделить один небольшой сценарий: студент пытается выполнить действие преподавателя, преподаватель пытается редактировать чужой курс, пользователь без токена обращается к защищённому маршруту. Это усилит доказательность ролевой модели.</w:t>
      </w:r>
    </w:p>
    <w:p>
      <w:pPr>
        <w:pStyle w:val="Heading2"/>
      </w:pPr>
      <w:r>
        <w:t>4. Отдельный сценарий проверки дедлайна и закрытого теста</w:t>
      </w:r>
    </w:p>
    <w:p>
      <w:pPr>
        <w:pStyle w:val="Normal"/>
      </w:pPr>
      <w:r>
        <w:t>В тексте уже сказано, что проверялись active, closed и deadlineAt. Но желательно дать хотя бы один короткий листинг или таблицу: тест закрыт, студент получает недоступность, результат не сохраняется. Это хорошая сильная часть проекта, её стоит показать явно.</w:t>
      </w:r>
    </w:p>
    <w:p>
      <w:pPr>
        <w:pStyle w:val="Heading2"/>
      </w:pPr>
      <w:r>
        <w:t>5. Мини-вывод после каждого крупного сценария</w:t>
      </w:r>
    </w:p>
    <w:p>
      <w:pPr>
        <w:pStyle w:val="Normal"/>
      </w:pPr>
      <w:r>
        <w:t>Часть таких выводов уже есть. Нужно сделать их единообразными: после backend, авторизации, студента, преподавателя, администратора и сборки кратко писать, что именно подтверждено.</w:t>
      </w:r>
    </w:p>
    <w:p>
      <w:pPr>
        <w:pStyle w:val="Heading1"/>
      </w:pPr>
      <w:r>
        <w:t>Четвертая глава: что сократить или поправить</w:t>
      </w:r>
    </w:p>
    <w:p>
      <w:pPr>
        <w:pStyle w:val="Heading2"/>
      </w:pPr>
      <w:r>
        <w:t>1. Убрать локальный путь пользователя из листинга запуска</w:t>
      </w:r>
    </w:p>
    <w:p>
      <w:pPr>
        <w:pStyle w:val="Normal"/>
      </w:pPr>
      <w:r>
        <w:t>В листинге запуска backend сейчас указан путь вида /Users/daniil... Для ВКР лучше заменить его на нейтральный вариант:</w:t>
      </w:r>
    </w:p>
    <w:p>
      <w:pPr>
        <w:pStyle w:val="CodeBlock"/>
        <w:shd w:fill="F3F4F6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rPr>
          <w:rFonts w:ascii="Courier New" w:hAnsi="Courier New"/>
          <w:sz w:val="19"/>
        </w:rPr>
        <w:t xml:space="preserve">cd LP_Server/LP_Server</w:t>
      </w:r>
      <w:r>
        <w:br/>
      </w:r>
      <w:r>
        <w:rPr>
          <w:rFonts w:ascii="Courier New" w:hAnsi="Courier New"/>
          <w:sz w:val="19"/>
        </w:rPr>
        <w:t xml:space="preserve">./scripts/start-server.sh</w:t>
      </w:r>
      <w:r>
        <w:br/>
      </w:r>
      <w:r>
        <w:rPr>
          <w:rFonts w:ascii="Courier New" w:hAnsi="Courier New"/>
          <w:sz w:val="19"/>
        </w:rPr>
        <w:t xml:space="preserve">curl -i http://localhost:8080/api/health</w:t>
      </w:r>
    </w:p>
    <w:p>
      <w:pPr>
        <w:pStyle w:val="Heading2"/>
      </w:pPr>
      <w:r>
        <w:t>2. Не показывать реальные токены как постоянные значения</w:t>
      </w:r>
    </w:p>
    <w:p>
      <w:pPr>
        <w:pStyle w:val="Normal"/>
      </w:pPr>
      <w:r>
        <w:t>В нескольких местах используются токены вида MTpUZWFjaGVy и MzpBZG1pbg==. Лучше заменить их на «ВСТАВИТЬ_ТОКЕН_ПРЕПОДАВАТЕЛЯ» или «ВСТАВИТЬ_ТОКЕН_АДМИНИСТРАТОРА». Так текст будет безопаснее и аккуратнее. Если нужен фактический ответ, достаточно показать, что токен получен на этапе авторизации.</w:t>
      </w:r>
    </w:p>
    <w:p>
      <w:pPr>
        <w:pStyle w:val="Heading2"/>
      </w:pPr>
      <w:r>
        <w:t>3. Выровнять стиль названий листингов</w:t>
      </w:r>
    </w:p>
    <w:p>
      <w:pPr>
        <w:pStyle w:val="Normal"/>
      </w:pPr>
      <w:r>
        <w:t>Сейчас где-то написано «Фактический фрагмент», где-то «фактический фрагмент», где-то используются разные тире. Лучше привести единообразно: «Листинг 4.x — запрос ...» и «Листинг 4.x — фрагмент ответа ...».</w:t>
      </w:r>
    </w:p>
    <w:p>
      <w:pPr>
        <w:pStyle w:val="Heading2"/>
      </w:pPr>
      <w:r>
        <w:t>4. Убрать технический символ процента после JSON</w:t>
      </w:r>
    </w:p>
    <w:p>
      <w:pPr>
        <w:pStyle w:val="Normal"/>
      </w:pPr>
      <w:r>
        <w:t>В ответе после создания теста виден символ «%». Это след терминала, его лучше удалить из листинга, чтобы ответ выглядел чисто.</w:t>
      </w:r>
    </w:p>
    <w:p>
      <w:pPr>
        <w:pStyle w:val="Heading2"/>
      </w:pPr>
      <w:r>
        <w:t>5. Уточнить листинг закрытия теста</w:t>
      </w:r>
    </w:p>
    <w:p>
      <w:pPr>
        <w:pStyle w:val="Normal"/>
      </w:pPr>
      <w:r>
        <w:t>После запроса закрытия теста есть только команда, но нет фрагмента ответа. Лучше либо добавить листинг ответа, либо убрать команду из подробных листингов и описать её в тексте. Иначе проверка выглядит неполной.</w:t>
      </w:r>
    </w:p>
    <w:p>
      <w:pPr>
        <w:pStyle w:val="Heading2"/>
      </w:pPr>
      <w:r>
        <w:t>6. Не показывать пустого пользователя в административном ответе</w:t>
      </w:r>
    </w:p>
    <w:p>
      <w:pPr>
        <w:pStyle w:val="Normal"/>
      </w:pPr>
      <w:r>
        <w:t>В списке пользователей есть запись student1 с пустыми полями. Для ВКР это выглядит как недоработка демонстрационных данных. Лучше либо убрать этот фрагмент из листинга, либо заменить его на пользователя с заполненными firstName, lastName, email и groupName.</w:t>
      </w:r>
    </w:p>
    <w:p>
      <w:pPr>
        <w:pStyle w:val="Heading2"/>
      </w:pPr>
      <w:r>
        <w:t>7. Исправить опечатки</w:t>
      </w:r>
    </w:p>
    <w:p>
      <w:pPr>
        <w:pStyle w:val="Normal"/>
      </w:pPr>
      <w:r>
        <w:t>В четвертой главе стоит исправить: «QT-клиента» на «Qt-клиента», «администартора» на «администратора». Также желательно единообразно использовать «развёртывание», а не смешивать варианты написания.</w:t>
      </w:r>
    </w:p>
    <w:p>
      <w:pPr>
        <w:pStyle w:val="Heading1"/>
      </w:pPr>
      <w:r>
        <w:t>Как может выглядеть усиленная методика тестирования</w:t>
      </w:r>
    </w:p>
    <w:p>
      <w:pPr>
        <w:pStyle w:val="Normal"/>
      </w:pPr>
      <w:r>
        <w:t>Можно заменить начало четвертой главы или дополнить его таким фрагментом: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Проверка выполнялась по функциональным сценариям, соответствующим основным ролям системы. Для каждого сценария определялись цель, исходные условия, выполняемые действия и ожидаемый результат. Такой подход позволил проверить не только отдельные API-методы, но и связанный пользовательский путь: авторизация, получение данных, выполнение действия в интерфейсе, обработка запроса на сервере и сохранение результата в базе данных.</w:t>
      </w:r>
    </w:p>
    <w:p>
      <w:pPr>
        <w:pStyle w:val="Heading1"/>
      </w:pPr>
      <w:r>
        <w:t>Что лучше оставить без сильной переработки</w:t>
      </w:r>
    </w:p>
    <w:p>
      <w:pPr>
        <w:pStyle w:val="ListParagraph"/>
      </w:pPr>
      <w:r>
        <w:t>• В третьей главе стоит оставить структуру разделов: выбор средств, структура реализации, сервер, клиент, база данных и развёртывание, вывод.</w:t>
      </w:r>
    </w:p>
    <w:p>
      <w:pPr>
        <w:pStyle w:val="ListParagraph"/>
      </w:pPr>
      <w:r>
        <w:t>• В четвертой главе стоит оставить сценарный подход: backend, авторизация, студент, преподаватель, администратор, сборка, результаты.</w:t>
      </w:r>
    </w:p>
    <w:p>
      <w:pPr>
        <w:pStyle w:val="ListParagraph"/>
      </w:pPr>
      <w:r>
        <w:t>• Таблицу результатов тестирования стоит оставить, потому что она хорошо закрывает требование показать итог проверки.</w:t>
      </w:r>
    </w:p>
    <w:p>
      <w:pPr>
        <w:pStyle w:val="ListParagraph"/>
      </w:pPr>
      <w:r>
        <w:t>• Анализ ограничений в конце четвертой главы стоит оставить: это делает работу честнее и взрослее.</w:t>
      </w:r>
    </w:p>
    <w:p>
      <w:pPr>
        <w:pStyle w:val="Heading1"/>
      </w:pPr>
      <w:r>
        <w:t>Итоговый план правки</w:t>
      </w:r>
    </w:p>
    <w:p>
      <w:pPr>
        <w:pStyle w:val="ListParagraph"/>
      </w:pPr>
      <w:r>
        <w:t>1. В третью главу добавить три связки: после заголовка главы, перед серверной частью и перед клиентской частью.</w:t>
      </w:r>
    </w:p>
    <w:p>
      <w:pPr>
        <w:pStyle w:val="ListParagraph"/>
      </w:pPr>
      <w:r>
        <w:t>2. В третьей главе сократить повторы про Controller — Service — Repository, если общий объём получится слишком большим.</w:t>
      </w:r>
    </w:p>
    <w:p>
      <w:pPr>
        <w:pStyle w:val="ListParagraph"/>
      </w:pPr>
      <w:r>
        <w:t>3. В четвертой главе добавить критерии успешности тестирования и таблицу тестовой среды.</w:t>
      </w:r>
    </w:p>
    <w:p>
      <w:pPr>
        <w:pStyle w:val="ListParagraph"/>
      </w:pPr>
      <w:r>
        <w:t>4. В четвертой главе добавить отдельную проверку прав доступа и отдельную проверку закрытого или просроченного теста.</w:t>
      </w:r>
    </w:p>
    <w:p>
      <w:pPr>
        <w:pStyle w:val="ListParagraph"/>
      </w:pPr>
      <w:r>
        <w:t>5. В листингах заменить локальные пути и реальные токены на нейтральные обозначения.</w:t>
      </w:r>
    </w:p>
    <w:p>
      <w:pPr>
        <w:pStyle w:val="ListParagraph"/>
      </w:pPr>
      <w:r>
        <w:t>6. Почистить фактические JSON-ответы: убрать пустые демо-записи, символы терминала и лишние заголовки, если они не нужны для доказательства.</w:t>
      </w:r>
    </w:p>
    <w:p>
      <w:pPr>
        <w:pStyle w:val="ListParagraph"/>
      </w:pPr>
      <w:r>
        <w:t>7. Выровнять названия листингов и исправить опечатки.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300" w:lineRule="auto"/>
    </w:pPr>
    <w:rPr>
      <w:rFonts w:ascii="Arial" w:hAnsi="Arial"/>
      <w:sz w:val="22"/>
    </w:rPr>
  </w:style>
  <w:style w:type="paragraph" w:styleId="Title">
    <w:name w:val="Title"/>
    <w:basedOn w:val="Normal"/>
    <w:pPr>
      <w:spacing w:after="240"/>
    </w:pPr>
    <w:rPr>
      <w:b/>
      <w:rFonts w:ascii="Arial" w:hAnsi="Arial"/>
      <w:sz w:val="36"/>
    </w:rPr>
  </w:style>
  <w:style w:type="paragraph" w:styleId="Heading1">
    <w:name w:val="heading 1"/>
    <w:basedOn w:val="Normal"/>
    <w:pPr>
      <w:keepNext/>
      <w:spacing w:before="360" w:after="120"/>
    </w:pPr>
    <w:rPr>
      <w:b/>
      <w:rFonts w:ascii="Arial" w:hAnsi="Arial"/>
      <w:color w:val="0F172A"/>
      <w:sz w:val="30"/>
    </w:rPr>
  </w:style>
  <w:style w:type="paragraph" w:styleId="Heading2">
    <w:name w:val="heading 2"/>
    <w:basedOn w:val="Normal"/>
    <w:pPr>
      <w:keepNext/>
      <w:spacing w:before="240" w:after="100"/>
    </w:pPr>
    <w:rPr>
      <w:b/>
      <w:rFonts w:ascii="Arial" w:hAnsi="Arial"/>
      <w:color w:val="1F2937"/>
      <w:sz w:val="25"/>
    </w:rPr>
  </w:style>
  <w:style w:type="paragraph" w:styleId="ListParagraph">
    <w:name w:val="List Paragraph"/>
    <w:basedOn w:val="Normal"/>
    <w:pPr>
      <w:ind w:left="360"/>
      <w:spacing w:after="80" w:line="300" w:lineRule="auto"/>
    </w:pPr>
    <w:rPr>
      <w:rFonts w:ascii="Arial" w:hAnsi="Arial"/>
      <w:sz w:val="22"/>
    </w:rPr>
  </w:style>
  <w:style w:type="paragraph" w:styleId="CodeBlock">
    <w:name w:val="Code Block"/>
    <w:basedOn w:val="Normal"/>
    <w:pPr>
      <w:spacing w:before="80" w:after="160" w:line="240" w:lineRule="auto"/>
    </w:pPr>
    <w:rPr>
      <w:rFonts w:ascii="Courier New" w:hAnsi="Courier New"/>
      <w:sz w:val="19"/>
    </w:rPr>
  </w:style>
  <w:style w:type="paragraph" w:styleId="Callout">
    <w:name w:val="Callout"/>
    <w:basedOn w:val="Normal"/>
    <w:pPr>
      <w:spacing w:before="100" w:after="160"/>
    </w:pPr>
    <w:rPr>
      <w:rFonts w:ascii="Arial" w:hAnsi="Arial"/>
      <w:sz w:val="21"/>
    </w:rPr>
  </w:style>
  <w:style w:type="paragraph" w:styleId="TableHeader">
    <w:name w:val="Table Header"/>
    <w:basedOn w:val="Normal"/>
    <w:pPr>
      <w:spacing w:after="0" w:line="260" w:lineRule="auto"/>
    </w:pPr>
    <w:rPr>
      <w:b/>
      <w:rFonts w:ascii="Arial" w:hAnsi="Arial"/>
      <w:sz w:val="20"/>
    </w:rPr>
  </w:style>
</w:styles>
</file>

<file path=word/_rels/document.xml.rels><?xml version="1.0" encoding="UTF-8" standalone="yes"?>
<Relationships xmlns="http://schemas.openxmlformats.org/package/2006/relationships"/>
</file>