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356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6B6356" w:rsidRPr="00C038F3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Pr="00027B4C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3.2</w:t>
      </w:r>
    </w:p>
    <w:p w:rsidR="006B6356" w:rsidRPr="00660B2C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модуля кручения</w:t>
      </w:r>
      <w:r w:rsidR="00E63F9D">
        <w:rPr>
          <w:rFonts w:ascii="Times New Roman" w:hAnsi="Times New Roman" w:cs="Times New Roman"/>
          <w:sz w:val="28"/>
        </w:rPr>
        <w:t xml:space="preserve"> стержня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 w:rsidP="006B6356">
      <w:pPr>
        <w:ind w:firstLine="0"/>
        <w:rPr>
          <w:rFonts w:ascii="Times New Roman" w:hAnsi="Times New Roman" w:cs="Times New Roman"/>
          <w:b/>
          <w:sz w:val="28"/>
        </w:rPr>
      </w:pPr>
    </w:p>
    <w:p w:rsidR="006B6356" w:rsidRDefault="006B6356" w:rsidP="006B635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Цель работы: </w:t>
      </w:r>
      <w:r>
        <w:rPr>
          <w:rFonts w:ascii="Times New Roman" w:hAnsi="Times New Roman" w:cs="Times New Roman"/>
          <w:sz w:val="24"/>
          <w:szCs w:val="28"/>
        </w:rPr>
        <w:t>измерение углов закручивания в зависимости от приложенного момента сил, расчёт модулей кручения и сдвига при статическом закручивании стержня, определение тех же модулей для проволоки по измерениям периодов крутильных колебаний подвешенного на ней маятника (динамическим методом).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>
        <w:rPr>
          <w:rFonts w:ascii="Times New Roman" w:hAnsi="Times New Roman" w:cs="Times New Roman"/>
          <w:sz w:val="24"/>
          <w:szCs w:val="28"/>
        </w:rPr>
        <w:t>в первой части: исследуемый стержень, отсчётная труба со шкалой, рулетка, микрометр, набор грузов; во второй части проволока из исследуемого материала, грузы, секундомер, микрометр, рулетка, линейка.</w:t>
      </w:r>
    </w:p>
    <w:p w:rsidR="006B6356" w:rsidRDefault="006B6356" w:rsidP="006B6356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6B6356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>При закручивании цилиндрических стержней круглого сечения распределение деформаций и напряжений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одинаково по длине стержня только вдали от мест, где прикладываются закручивающие моменты. Для этих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 xml:space="preserve">областей можно считать, что каждое поперечное сечение </w:t>
      </w:r>
      <w:r>
        <w:rPr>
          <w:rFonts w:ascii="Times New Roman" w:hAnsi="Times New Roman" w:cs="Times New Roman"/>
          <w:sz w:val="24"/>
          <w:szCs w:val="28"/>
        </w:rPr>
        <w:t>п</w:t>
      </w:r>
      <w:r w:rsidRPr="00AF7EF2">
        <w:rPr>
          <w:rFonts w:ascii="Times New Roman" w:hAnsi="Times New Roman" w:cs="Times New Roman"/>
          <w:sz w:val="24"/>
          <w:szCs w:val="28"/>
        </w:rPr>
        <w:t>оворачивается как жесткое, то есть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частички материала не сходят с радиальных линий, на которых они были в начале, и все эти линии поворачиваются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на один и тот же угол. Такое напряж</w:t>
      </w:r>
      <w:r>
        <w:rPr>
          <w:rFonts w:ascii="Times New Roman" w:hAnsi="Times New Roman" w:cs="Times New Roman"/>
          <w:sz w:val="24"/>
          <w:szCs w:val="28"/>
        </w:rPr>
        <w:t>ённое</w:t>
      </w:r>
      <w:r w:rsidRPr="00AF7EF2">
        <w:rPr>
          <w:rFonts w:ascii="Times New Roman" w:hAnsi="Times New Roman" w:cs="Times New Roman"/>
          <w:sz w:val="24"/>
          <w:szCs w:val="28"/>
        </w:rPr>
        <w:t xml:space="preserve"> состояние наз</w:t>
      </w:r>
      <w:r>
        <w:rPr>
          <w:rFonts w:ascii="Times New Roman" w:hAnsi="Times New Roman" w:cs="Times New Roman"/>
          <w:sz w:val="24"/>
          <w:szCs w:val="28"/>
        </w:rPr>
        <w:t>ы</w:t>
      </w:r>
      <w:r w:rsidRPr="00AF7EF2">
        <w:rPr>
          <w:rFonts w:ascii="Times New Roman" w:hAnsi="Times New Roman" w:cs="Times New Roman"/>
          <w:sz w:val="24"/>
          <w:szCs w:val="28"/>
        </w:rPr>
        <w:t>ва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тся чистым круч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ни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м.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 xml:space="preserve">При такой деформации любая прямая линия, проведенная до закручивания цилиндра </w:t>
      </w:r>
      <w:proofErr w:type="spellStart"/>
      <w:r w:rsidRPr="00AF7EF2">
        <w:rPr>
          <w:rFonts w:ascii="Times New Roman" w:hAnsi="Times New Roman" w:cs="Times New Roman"/>
          <w:sz w:val="24"/>
          <w:szCs w:val="28"/>
        </w:rPr>
        <w:t>почастицам</w:t>
      </w:r>
      <w:proofErr w:type="spellEnd"/>
      <w:r w:rsidRPr="00AF7EF2">
        <w:rPr>
          <w:rFonts w:ascii="Times New Roman" w:hAnsi="Times New Roman" w:cs="Times New Roman"/>
          <w:sz w:val="24"/>
          <w:szCs w:val="28"/>
        </w:rPr>
        <w:t xml:space="preserve"> материала и параллельная оси симметрии, при закручивании превращается в спираль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(винтовую линию).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Рассмотрев небольшие кусочки цилиндра можно вывести соотношение</w:t>
      </w:r>
      <w:r w:rsidRPr="00AF7EF2">
        <w:rPr>
          <w:rFonts w:ascii="Times New Roman" w:hAnsi="Times New Roman" w:cs="Times New Roman"/>
          <w:sz w:val="24"/>
          <w:szCs w:val="28"/>
        </w:rPr>
        <w:t>:</w:t>
      </w:r>
    </w:p>
    <w:p w:rsidR="00AF7EF2" w:rsidRPr="00AF7EF2" w:rsidRDefault="00397650" w:rsidP="00AF7EF2">
      <w:pPr>
        <w:spacing w:line="240" w:lineRule="auto"/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τ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=Gr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dl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:rsidR="00AF7EF2" w:rsidRDefault="00AF6DDB" w:rsidP="00AF7EF2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8"/>
            <w:lang w:val="en-US"/>
          </w:rPr>
          <m:t>τ</m:t>
        </m:r>
      </m:oMath>
      <w:r w:rsidR="00E63F9D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E63F9D" w:rsidRPr="00E63F9D">
        <w:rPr>
          <w:rFonts w:ascii="Times New Roman" w:eastAsiaTheme="minorEastAsia" w:hAnsi="Times New Roman" w:cs="Times New Roman"/>
          <w:i/>
          <w:sz w:val="24"/>
          <w:szCs w:val="28"/>
        </w:rPr>
        <w:t>‒</w:t>
      </w:r>
      <w:r w:rsidR="00AF7EF2" w:rsidRPr="00C84A9F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AF7EF2">
        <w:rPr>
          <w:rFonts w:ascii="Times New Roman" w:eastAsiaTheme="minorEastAsia" w:hAnsi="Times New Roman" w:cs="Times New Roman"/>
          <w:sz w:val="24"/>
          <w:szCs w:val="28"/>
        </w:rPr>
        <w:t>Касательное напряжение</w:t>
      </w:r>
    </w:p>
    <w:p w:rsidR="00D51CBB" w:rsidRDefault="00AF7EF2" w:rsidP="00D51CB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AF7EF2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G</w:t>
      </w:r>
      <w:r w:rsidR="00E63F9D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E63F9D" w:rsidRPr="00E63F9D">
        <w:rPr>
          <w:rFonts w:ascii="Times New Roman" w:eastAsiaTheme="minorEastAsia" w:hAnsi="Times New Roman" w:cs="Times New Roman"/>
          <w:i/>
          <w:sz w:val="24"/>
          <w:szCs w:val="28"/>
        </w:rPr>
        <w:t>‒</w:t>
      </w:r>
      <w:r w:rsidRPr="00C84A9F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Модуль сдвига</w:t>
      </w:r>
    </w:p>
    <w:p w:rsidR="00D51CBB" w:rsidRDefault="00D51CBB" w:rsidP="00D51CB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Суммарный момент </w:t>
      </w:r>
      <w:r w:rsidR="00AF6DDB">
        <w:rPr>
          <w:rFonts w:ascii="Times New Roman" w:eastAsiaTheme="minorEastAsia" w:hAnsi="Times New Roman" w:cs="Times New Roman"/>
          <w:sz w:val="24"/>
          <w:szCs w:val="28"/>
        </w:rPr>
        <w:t xml:space="preserve">сил, действующий на всем поперечном сечении цилиндра радиуса </w:t>
      </w:r>
      <w:r w:rsidR="00AF6DDB" w:rsidRPr="00AF6DDB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R</w:t>
      </w:r>
      <w:r w:rsidR="00AF6DDB">
        <w:rPr>
          <w:rFonts w:ascii="Times New Roman" w:eastAsiaTheme="minorEastAsia" w:hAnsi="Times New Roman" w:cs="Times New Roman"/>
          <w:sz w:val="24"/>
          <w:szCs w:val="28"/>
        </w:rPr>
        <w:t>, создаваемый этими выражениями можно выразить как</w:t>
      </w:r>
    </w:p>
    <w:p w:rsidR="00AF6DDB" w:rsidRP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G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AF6DDB">
        <w:rPr>
          <w:rFonts w:ascii="Times New Roman" w:eastAsiaTheme="minorEastAsia" w:hAnsi="Times New Roman" w:cs="Times New Roman"/>
          <w:sz w:val="24"/>
          <w:szCs w:val="28"/>
        </w:rPr>
        <w:t>Этот момент не меняется по длине цилиндра, значит, для поперечного сечения, находящегося на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расстоянии </w:t>
      </w:r>
      <w:proofErr w:type="gramStart"/>
      <w:r>
        <w:rPr>
          <w:rFonts w:ascii="Times New Roman" w:eastAsiaTheme="minorEastAsia" w:hAnsi="Times New Roman" w:cs="Times New Roman"/>
          <w:sz w:val="24"/>
          <w:szCs w:val="28"/>
        </w:rPr>
        <w:t>1</w:t>
      </w:r>
      <w:proofErr w:type="gramEnd"/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 можно связать момент сил и угол его поворота.</w:t>
      </w:r>
    </w:p>
    <w:p w:rsidR="00AF6DDB" w:rsidRP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=f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Таким образом модуль кручения </w:t>
      </w:r>
      <m:oMath>
        <m:r>
          <w:rPr>
            <w:rFonts w:ascii="Cambria Math" w:eastAsiaTheme="minorEastAsia" w:hAnsi="Cambria Math" w:cs="Times New Roman"/>
            <w:sz w:val="24"/>
            <w:szCs w:val="28"/>
          </w:rPr>
          <m:t>f</m:t>
        </m:r>
      </m:oMath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можно выразить как:</w:t>
      </w:r>
    </w:p>
    <w:p w:rsidR="00AF6DDB" w:rsidRP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f=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В системе можно возбудить крутильные колебания. Вращение стержня с закрепленными на нём грузиками вокруг вертикальной оси происходит под действием упругого момента, возникающего в проволоке. Это вращение описывается уравнением:</w:t>
      </w:r>
    </w:p>
    <w:p w:rsidR="00526F2F" w:rsidRP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=-M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С учётом выражения для момента </w:t>
      </w:r>
      <w:r w:rsidRPr="00526F2F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M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получим, что вращение описывается уравнением колебаний:</w:t>
      </w:r>
    </w:p>
    <w:p w:rsidR="00526F2F" w:rsidRP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+f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Таким образом период колебаний можно связать с модулем кручения </w:t>
      </w:r>
      <m:oMath>
        <m:r>
          <w:rPr>
            <w:rFonts w:ascii="Cambria Math" w:eastAsiaTheme="minorEastAsia" w:hAnsi="Cambria Math" w:cs="Times New Roman"/>
            <w:sz w:val="24"/>
            <w:szCs w:val="28"/>
          </w:rPr>
          <m:t>f</m:t>
        </m:r>
      </m:oMath>
      <w:r w:rsidRPr="00526F2F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следующим уравнением:</w:t>
      </w:r>
    </w:p>
    <w:p w:rsidR="00526F2F" w:rsidRP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I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π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π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2m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7</m:t>
                  </m:r>
                </m:e>
              </m:d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 как данные зависимости работают для незатухающих колебаний, для их применения необходимо убедиться, что в рассматриваемой системе период колебаний не зависит от начальной амплитуды и что амплитуда уменьшается не более чем в два раза после </w:t>
      </w:r>
      <w:r w:rsidRPr="00526F2F">
        <w:rPr>
          <w:rFonts w:ascii="Times New Roman" w:eastAsiaTheme="minorEastAsia" w:hAnsi="Times New Roman" w:cs="Times New Roman"/>
          <w:sz w:val="24"/>
          <w:szCs w:val="28"/>
        </w:rPr>
        <w:t>±</w:t>
      </w:r>
      <w:r>
        <w:rPr>
          <w:rFonts w:ascii="Times New Roman" w:eastAsiaTheme="minorEastAsia" w:hAnsi="Times New Roman" w:cs="Times New Roman"/>
          <w:sz w:val="24"/>
          <w:szCs w:val="28"/>
        </w:rPr>
        <w:t>10 колебаний.</w:t>
      </w:r>
    </w:p>
    <w:p w:rsidR="00526F2F" w:rsidRPr="00526F2F" w:rsidRDefault="00526F2F" w:rsidP="00526F2F">
      <w:pPr>
        <w:pStyle w:val="a3"/>
        <w:numPr>
          <w:ilvl w:val="0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526F2F">
        <w:rPr>
          <w:rFonts w:ascii="Times New Roman" w:eastAsiaTheme="minorEastAsia" w:hAnsi="Times New Roman" w:cs="Times New Roman"/>
          <w:b/>
          <w:sz w:val="28"/>
          <w:szCs w:val="28"/>
        </w:rPr>
        <w:t>Экспериментальная установка</w:t>
      </w:r>
    </w:p>
    <w:p w:rsidR="00E63F9D" w:rsidRDefault="00E63F9D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54398C" wp14:editId="5F30A040">
                <wp:simplePos x="0" y="0"/>
                <wp:positionH relativeFrom="column">
                  <wp:posOffset>2999585</wp:posOffset>
                </wp:positionH>
                <wp:positionV relativeFrom="paragraph">
                  <wp:posOffset>4042410</wp:posOffset>
                </wp:positionV>
                <wp:extent cx="2587625" cy="635"/>
                <wp:effectExtent l="0" t="0" r="3175" b="0"/>
                <wp:wrapSquare wrapText="bothSides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63F9D" w:rsidRPr="00917628" w:rsidRDefault="00E63F9D" w:rsidP="00E63F9D">
                            <w:pPr>
                              <w:pStyle w:val="a5"/>
                              <w:ind w:firstLine="0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>
                              <w:t>Рисунок 2: установка для динамического метода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954398C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36.2pt;margin-top:318.3pt;width:203.7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" stroked="f">
                <v:textbox style="mso-fit-shape-to-text:t" inset="0,0,0,0">
                  <w:txbxContent>
                    <w:p w:rsidR="00E63F9D" w:rsidRPr="00917628" w:rsidRDefault="00E63F9D" w:rsidP="00E63F9D">
                      <w:pPr>
                        <w:pStyle w:val="a5"/>
                        <w:ind w:firstLine="0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>
                        <w:t>Рисунок 2: установка для динамического метода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60849F88">
            <wp:simplePos x="0" y="0"/>
            <wp:positionH relativeFrom="column">
              <wp:posOffset>2861909</wp:posOffset>
            </wp:positionH>
            <wp:positionV relativeFrom="paragraph">
              <wp:posOffset>447675</wp:posOffset>
            </wp:positionV>
            <wp:extent cx="2760345" cy="3592195"/>
            <wp:effectExtent l="0" t="0" r="1905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345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drawing>
          <wp:anchor distT="0" distB="0" distL="114300" distR="114300" simplePos="0" relativeHeight="251658240" behindDoc="0" locked="0" layoutInCell="1" allowOverlap="1" wp14:anchorId="1431F311">
            <wp:simplePos x="0" y="0"/>
            <wp:positionH relativeFrom="page">
              <wp:posOffset>1249872</wp:posOffset>
            </wp:positionH>
            <wp:positionV relativeFrom="paragraph">
              <wp:posOffset>533568</wp:posOffset>
            </wp:positionV>
            <wp:extent cx="2725947" cy="353343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947" cy="353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2F">
        <w:rPr>
          <w:rFonts w:ascii="Times New Roman" w:eastAsiaTheme="minorEastAsia" w:hAnsi="Times New Roman" w:cs="Times New Roman"/>
          <w:sz w:val="24"/>
          <w:szCs w:val="28"/>
        </w:rPr>
        <w:t>В данной работе используется две экспериментальные установки: для определения модуля кручения стержня статическим и динамическим методами.</w:t>
      </w:r>
    </w:p>
    <w:p w:rsidR="00E63F9D" w:rsidRDefault="00E63F9D" w:rsidP="00E63F9D">
      <w:pPr>
        <w:spacing w:line="240" w:lineRule="auto"/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0BB355" wp14:editId="3CEBAF67">
                <wp:simplePos x="0" y="0"/>
                <wp:positionH relativeFrom="column">
                  <wp:posOffset>109160</wp:posOffset>
                </wp:positionH>
                <wp:positionV relativeFrom="paragraph">
                  <wp:posOffset>3602559</wp:posOffset>
                </wp:positionV>
                <wp:extent cx="2725420" cy="635"/>
                <wp:effectExtent l="0" t="0" r="0" b="0"/>
                <wp:wrapSquare wrapText="bothSides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5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63F9D" w:rsidRPr="00B21373" w:rsidRDefault="00E63F9D" w:rsidP="00E63F9D">
                            <w:pPr>
                              <w:pStyle w:val="a5"/>
                              <w:ind w:firstLine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установка для статического метода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BB355" id="Надпись 3" o:spid="_x0000_s1027" type="#_x0000_t202" style="position:absolute;left:0;text-align:left;margin-left:8.6pt;margin-top:283.65pt;width:214.6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" stroked="f">
                <v:textbox style="mso-fit-shape-to-text:t" inset="0,0,0,0">
                  <w:txbxContent>
                    <w:p w:rsidR="00E63F9D" w:rsidRPr="00B21373" w:rsidRDefault="00E63F9D" w:rsidP="00E63F9D">
                      <w:pPr>
                        <w:pStyle w:val="a5"/>
                        <w:ind w:firstLine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установка для статического метода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56843" w:rsidRDefault="00356843" w:rsidP="00356843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Схема экспериментальной установки для статического закручивания стержня изображена на </w:t>
      </w:r>
      <w:r>
        <w:rPr>
          <w:rFonts w:ascii="Times New Roman" w:eastAsiaTheme="minorEastAsia" w:hAnsi="Times New Roman" w:cs="Times New Roman"/>
          <w:sz w:val="24"/>
          <w:szCs w:val="28"/>
        </w:rPr>
        <w:t>рисунке 1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. Верхний конец вертикально расположенного стержня С жестко закреплен на стойке, а нижний </w:t>
      </w:r>
      <w:r>
        <w:rPr>
          <w:rFonts w:ascii="Times New Roman" w:eastAsiaTheme="minorEastAsia" w:hAnsi="Times New Roman" w:cs="Times New Roman"/>
          <w:sz w:val="24"/>
          <w:szCs w:val="28"/>
        </w:rPr>
        <w:t>соединен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 диском Д. Момент М, закручивающий стержень, создают две навитые на диск и перекинутые через блоки Б нити, к концам которых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подвешиваются одинаковые грузы Г. Диск снабжен зеркальцем З. Для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определения угла закручивания стержня надо зрительную трубу направить на зеркальце и добиться того, чтобы в нее было четко видно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отражение шкалы, укрепленной на том же штативе, что и труба. Измерение смещения изображения шкалы в трубе позволяет определить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угол закручивания стержня.</w:t>
      </w:r>
    </w:p>
    <w:p w:rsidR="00526F2F" w:rsidRDefault="00E63F9D" w:rsidP="00356843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E63F9D"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Экспериментальная установка, используемая </w:t>
      </w:r>
      <w:r>
        <w:rPr>
          <w:rFonts w:ascii="Times New Roman" w:eastAsiaTheme="minorEastAsia" w:hAnsi="Times New Roman" w:cs="Times New Roman"/>
          <w:sz w:val="24"/>
          <w:szCs w:val="28"/>
        </w:rPr>
        <w:t>для определения модуля кручения динамическим методом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, изображена на рис</w:t>
      </w:r>
      <w:r>
        <w:rPr>
          <w:rFonts w:ascii="Times New Roman" w:eastAsiaTheme="minorEastAsia" w:hAnsi="Times New Roman" w:cs="Times New Roman"/>
          <w:sz w:val="24"/>
          <w:szCs w:val="28"/>
        </w:rPr>
        <w:t>унке 2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и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состоит из длинной вертикально висящей пр</w:t>
      </w:r>
      <w:r>
        <w:rPr>
          <w:rFonts w:ascii="Times New Roman" w:eastAsiaTheme="minorEastAsia" w:hAnsi="Times New Roman" w:cs="Times New Roman"/>
          <w:sz w:val="24"/>
          <w:szCs w:val="28"/>
        </w:rPr>
        <w:t>о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волоки П, к нижнему концу которой прикреплен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горизонтальный металлический стержень С </w:t>
      </w:r>
      <w:proofErr w:type="spellStart"/>
      <w:r w:rsidRPr="00E63F9D">
        <w:rPr>
          <w:rFonts w:ascii="Times New Roman" w:eastAsiaTheme="minorEastAsia" w:hAnsi="Times New Roman" w:cs="Times New Roman"/>
          <w:sz w:val="24"/>
          <w:szCs w:val="28"/>
        </w:rPr>
        <w:t>с</w:t>
      </w:r>
      <w:proofErr w:type="spellEnd"/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двумя симметрично расположенными грузами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Г. Их положение на стержне можно фиксировать. Верхний конец пр</w:t>
      </w:r>
      <w:r>
        <w:rPr>
          <w:rFonts w:ascii="Times New Roman" w:eastAsiaTheme="minorEastAsia" w:hAnsi="Times New Roman" w:cs="Times New Roman"/>
          <w:sz w:val="24"/>
          <w:szCs w:val="28"/>
        </w:rPr>
        <w:t>о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волоки зажать в цангу и при помощи специального приспособления может вместе с цангой поворачивать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проволоку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вокруг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вертикальной оси. Таким способом в системе можно возбуждать крутильные колебания. </w:t>
      </w:r>
      <w:r>
        <w:rPr>
          <w:rFonts w:ascii="Times New Roman" w:eastAsiaTheme="minorEastAsia" w:hAnsi="Times New Roman" w:cs="Times New Roman"/>
          <w:sz w:val="24"/>
          <w:szCs w:val="28"/>
        </w:rPr>
        <w:t>Вращение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стержня С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с</w:t>
      </w:r>
      <w:proofErr w:type="spellEnd"/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закрепленными на н</w:t>
      </w:r>
      <w:r>
        <w:rPr>
          <w:rFonts w:ascii="Times New Roman" w:eastAsiaTheme="minorEastAsia" w:hAnsi="Times New Roman" w:cs="Times New Roman"/>
          <w:sz w:val="24"/>
          <w:szCs w:val="28"/>
        </w:rPr>
        <w:t>ё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м грузами Г вокруг вертикальной </w:t>
      </w:r>
      <w:bookmarkStart w:id="0" w:name="_GoBack"/>
      <w:bookmarkEnd w:id="0"/>
      <w:r w:rsidRPr="00E63F9D">
        <w:rPr>
          <w:rFonts w:ascii="Times New Roman" w:eastAsiaTheme="minorEastAsia" w:hAnsi="Times New Roman" w:cs="Times New Roman"/>
          <w:sz w:val="24"/>
          <w:szCs w:val="28"/>
        </w:rPr>
        <w:t>оси происходит под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дейс</w:t>
      </w:r>
      <w:r>
        <w:rPr>
          <w:rFonts w:ascii="Times New Roman" w:eastAsiaTheme="minorEastAsia" w:hAnsi="Times New Roman" w:cs="Times New Roman"/>
          <w:sz w:val="24"/>
          <w:szCs w:val="28"/>
        </w:rPr>
        <w:t>т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вием упругого момен</w:t>
      </w:r>
      <w:r>
        <w:rPr>
          <w:rFonts w:ascii="Times New Roman" w:eastAsiaTheme="minorEastAsia" w:hAnsi="Times New Roman" w:cs="Times New Roman"/>
          <w:sz w:val="24"/>
          <w:szCs w:val="28"/>
        </w:rPr>
        <w:t>т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а, возникающего в </w:t>
      </w:r>
      <w:r>
        <w:rPr>
          <w:rFonts w:ascii="Times New Roman" w:eastAsiaTheme="minorEastAsia" w:hAnsi="Times New Roman" w:cs="Times New Roman"/>
          <w:sz w:val="24"/>
          <w:szCs w:val="28"/>
        </w:rPr>
        <w:t>п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роволоке.</w:t>
      </w:r>
    </w:p>
    <w:p w:rsidR="00070E2F" w:rsidRDefault="00356843" w:rsidP="00070E2F">
      <w:pPr>
        <w:pStyle w:val="a3"/>
        <w:numPr>
          <w:ilvl w:val="0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56843">
        <w:rPr>
          <w:rFonts w:ascii="Times New Roman" w:eastAsiaTheme="minorEastAsia" w:hAnsi="Times New Roman" w:cs="Times New Roman"/>
          <w:b/>
          <w:sz w:val="28"/>
          <w:szCs w:val="28"/>
        </w:rPr>
        <w:t>Измерения и обработка данных</w:t>
      </w:r>
    </w:p>
    <w:p w:rsidR="00070E2F" w:rsidRDefault="00070E2F" w:rsidP="00070E2F">
      <w:pPr>
        <w:spacing w:line="240" w:lineRule="auto"/>
        <w:rPr>
          <w:rFonts w:ascii="Times New Roman" w:eastAsiaTheme="minorEastAsia" w:hAnsi="Times New Roman" w:cs="Times New Roman"/>
          <w:b/>
          <w:i/>
          <w:sz w:val="24"/>
          <w:szCs w:val="28"/>
        </w:rPr>
      </w:pPr>
    </w:p>
    <w:p w:rsidR="00070E2F" w:rsidRPr="00070E2F" w:rsidRDefault="00070E2F" w:rsidP="00070E2F">
      <w:pPr>
        <w:spacing w:line="240" w:lineRule="auto"/>
        <w:ind w:firstLine="0"/>
        <w:rPr>
          <w:rFonts w:ascii="Times New Roman" w:eastAsiaTheme="minorEastAsia" w:hAnsi="Times New Roman" w:cs="Times New Roman"/>
          <w:b/>
          <w:i/>
          <w:sz w:val="24"/>
          <w:szCs w:val="28"/>
        </w:rPr>
      </w:pPr>
    </w:p>
    <w:sectPr w:rsidR="00070E2F" w:rsidRPr="00070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764ACE"/>
    <w:multiLevelType w:val="multilevel"/>
    <w:tmpl w:val="A49EAC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56"/>
    <w:rsid w:val="00070E2F"/>
    <w:rsid w:val="00356843"/>
    <w:rsid w:val="00397650"/>
    <w:rsid w:val="00526BCE"/>
    <w:rsid w:val="00526F2F"/>
    <w:rsid w:val="006B6356"/>
    <w:rsid w:val="00723579"/>
    <w:rsid w:val="008F03F2"/>
    <w:rsid w:val="00AF6DDB"/>
    <w:rsid w:val="00AF7EF2"/>
    <w:rsid w:val="00C84A9F"/>
    <w:rsid w:val="00D51CBB"/>
    <w:rsid w:val="00E63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02F9E"/>
  <w15:chartTrackingRefBased/>
  <w15:docId w15:val="{08EA7D76-2827-4787-915A-1A6D672A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left="357"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B6356"/>
    <w:pPr>
      <w:ind w:left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356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AF7EF2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E63F9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45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4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OatmealCracker</cp:lastModifiedBy>
  <cp:revision>4</cp:revision>
  <dcterms:created xsi:type="dcterms:W3CDTF">2025-11-07T18:47:00Z</dcterms:created>
  <dcterms:modified xsi:type="dcterms:W3CDTF">2025-11-09T21:10:00Z</dcterms:modified>
</cp:coreProperties>
</file>