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ACB4" w14:textId="3E53E9C3" w:rsidR="0040359F" w:rsidRDefault="00000000" w:rsidP="003B49D1">
      <w:pPr>
        <w:pStyle w:val="Heading1"/>
        <w:jc w:val="center"/>
        <w:rPr>
          <w:sz w:val="28"/>
          <w:szCs w:val="28"/>
        </w:rPr>
      </w:pPr>
      <w:bookmarkStart w:id="0" w:name="_Toc236395436"/>
      <w:r>
        <w:t xml:space="preserve">PL-300: Visualize and </w:t>
      </w:r>
      <w:proofErr w:type="spellStart"/>
      <w:r>
        <w:t>Analyze</w:t>
      </w:r>
      <w:proofErr w:type="spellEnd"/>
      <w:r>
        <w:t xml:space="preserve"> Data — Complete Study Guide</w:t>
      </w:r>
      <w:bookmarkEnd w:id="0"/>
      <w:r w:rsidR="003B49D1">
        <w:t xml:space="preserve"> </w:t>
      </w:r>
      <w:r w:rsidR="003B49D1">
        <w:br/>
      </w:r>
      <w:r w:rsidR="003B49D1" w:rsidRPr="003B49D1">
        <w:rPr>
          <w:sz w:val="28"/>
          <w:szCs w:val="28"/>
        </w:rPr>
        <w:t>(from c</w:t>
      </w:r>
      <w:proofErr w:type="spellStart"/>
      <w:r w:rsidR="003B49D1" w:rsidRPr="003B49D1">
        <w:rPr>
          <w:sz w:val="28"/>
          <w:szCs w:val="28"/>
        </w:rPr>
        <w:t>laude</w:t>
      </w:r>
      <w:proofErr w:type="spellEnd"/>
      <w:r w:rsidR="003B49D1" w:rsidRPr="003B49D1">
        <w:rPr>
          <w:sz w:val="28"/>
          <w:szCs w:val="28"/>
        </w:rPr>
        <w:t>)</w:t>
      </w:r>
    </w:p>
    <w:p w14:paraId="6F8CF335" w14:textId="77777777" w:rsidR="003B49D1" w:rsidRPr="003B49D1" w:rsidRDefault="003B49D1" w:rsidP="003B49D1">
      <w:pPr>
        <w:pStyle w:val="Heading1"/>
        <w:jc w:val="center"/>
      </w:pPr>
    </w:p>
    <w:p w14:paraId="5110AEB8" w14:textId="77777777" w:rsidR="0040359F" w:rsidRDefault="00000000">
      <w:pPr>
        <w:pStyle w:val="Heading1"/>
      </w:pPr>
      <w:bookmarkStart w:id="1" w:name="_Toc236395439"/>
      <w:r>
        <w:t>Part 1: Creating and Formatting a Table Visualization</w:t>
      </w:r>
      <w:bookmarkEnd w:id="1"/>
    </w:p>
    <w:p w14:paraId="080BB844" w14:textId="77777777" w:rsidR="0040359F" w:rsidRDefault="00000000">
      <w:pPr>
        <w:pStyle w:val="Heading2"/>
      </w:pPr>
      <w:bookmarkStart w:id="2" w:name="_Toc236395440"/>
      <w:r>
        <w:t>1.1 What a Table Visual Is</w:t>
      </w:r>
      <w:bookmarkEnd w:id="2"/>
    </w:p>
    <w:p w14:paraId="44A8C000" w14:textId="77777777" w:rsidR="0040359F" w:rsidRDefault="00000000">
      <w:pPr>
        <w:spacing w:after="150"/>
      </w:pPr>
      <w:r>
        <w:t xml:space="preserve">A </w:t>
      </w:r>
      <w:r>
        <w:rPr>
          <w:b/>
          <w:bCs/>
        </w:rPr>
        <w:t>Table</w:t>
      </w:r>
      <w:r>
        <w:t xml:space="preserve"> visual in Power BI displays data in rows and columns, similar to a spreadsheet grid, with no automatic aggregation applied to text/date fields and automatic summarization (Sum, by default) applied to numeric fields dropped into the "Columns" well. Tables are best used for:</w:t>
      </w:r>
    </w:p>
    <w:p w14:paraId="18DA9BCA" w14:textId="77777777" w:rsidR="0040359F" w:rsidRDefault="00000000">
      <w:pPr>
        <w:pStyle w:val="ListParagraph"/>
        <w:numPr>
          <w:ilvl w:val="0"/>
          <w:numId w:val="1"/>
        </w:numPr>
        <w:spacing w:after="60"/>
      </w:pPr>
      <w:r>
        <w:t>Displaying detailed, granular data (e.g., a transaction list).</w:t>
      </w:r>
    </w:p>
    <w:p w14:paraId="15975B6B" w14:textId="77777777" w:rsidR="0040359F" w:rsidRDefault="00000000">
      <w:pPr>
        <w:pStyle w:val="ListParagraph"/>
        <w:numPr>
          <w:ilvl w:val="0"/>
          <w:numId w:val="1"/>
        </w:numPr>
        <w:spacing w:after="60"/>
      </w:pPr>
      <w:r>
        <w:t>Showing precise numeric values that a chart would obscure.</w:t>
      </w:r>
    </w:p>
    <w:p w14:paraId="6A9AD2D6" w14:textId="77777777" w:rsidR="0040359F" w:rsidRDefault="00000000">
      <w:pPr>
        <w:pStyle w:val="ListParagraph"/>
        <w:numPr>
          <w:ilvl w:val="0"/>
          <w:numId w:val="1"/>
        </w:numPr>
        <w:spacing w:after="60"/>
      </w:pPr>
      <w:r>
        <w:t>Presenting data for export or side-by-side comparison of many attributes.</w:t>
      </w:r>
    </w:p>
    <w:p w14:paraId="50975A12" w14:textId="77777777" w:rsidR="0040359F" w:rsidRDefault="00000000">
      <w:pPr>
        <w:pStyle w:val="Heading2"/>
      </w:pPr>
      <w:bookmarkStart w:id="3" w:name="_Toc236395441"/>
      <w:r>
        <w:t>1.2 Building a Table</w:t>
      </w:r>
      <w:bookmarkEnd w:id="3"/>
    </w:p>
    <w:p w14:paraId="596747D1" w14:textId="77777777" w:rsidR="0040359F" w:rsidRDefault="00000000">
      <w:pPr>
        <w:pStyle w:val="ListParagraph"/>
        <w:numPr>
          <w:ilvl w:val="0"/>
          <w:numId w:val="2"/>
        </w:numPr>
        <w:spacing w:after="60"/>
      </w:pPr>
      <w:r>
        <w:t>Select the Table icon in the Visualizations pane (or drag fields directly onto the canvas — Power BI auto-selects a suitable visual type).</w:t>
      </w:r>
    </w:p>
    <w:p w14:paraId="6A3B109D" w14:textId="77777777" w:rsidR="0040359F" w:rsidRDefault="00000000">
      <w:pPr>
        <w:pStyle w:val="ListParagraph"/>
        <w:numPr>
          <w:ilvl w:val="0"/>
          <w:numId w:val="2"/>
        </w:numPr>
        <w:spacing w:after="60"/>
      </w:pPr>
      <w:r>
        <w:t xml:space="preserve">Drag fields into the </w:t>
      </w:r>
      <w:r>
        <w:rPr>
          <w:b/>
          <w:bCs/>
        </w:rPr>
        <w:t>Columns</w:t>
      </w:r>
      <w:r>
        <w:t xml:space="preserve"> well. Order in the well determines left-to-right column order.</w:t>
      </w:r>
    </w:p>
    <w:p w14:paraId="76F94241" w14:textId="77777777" w:rsidR="0040359F" w:rsidRDefault="00000000">
      <w:pPr>
        <w:pStyle w:val="ListParagraph"/>
        <w:numPr>
          <w:ilvl w:val="0"/>
          <w:numId w:val="2"/>
        </w:numPr>
        <w:spacing w:after="60"/>
      </w:pPr>
      <w:r>
        <w:t>Numeric fields default to a summarization (Sum, Average, Count, Min, Max, etc.) — this can be changed via the field's context menu in the well, or by right-clicking the field and choosing "Summarize by."</w:t>
      </w:r>
    </w:p>
    <w:p w14:paraId="536FB50B" w14:textId="77777777" w:rsidR="0040359F" w:rsidRDefault="00000000">
      <w:pPr>
        <w:pStyle w:val="ListParagraph"/>
        <w:numPr>
          <w:ilvl w:val="0"/>
          <w:numId w:val="2"/>
        </w:numPr>
        <w:spacing w:after="60"/>
      </w:pPr>
      <w:r>
        <w:t xml:space="preserve">Use </w:t>
      </w:r>
      <w:r>
        <w:rPr>
          <w:b/>
          <w:bCs/>
        </w:rPr>
        <w:t>Don't summarize</w:t>
      </w:r>
      <w:r>
        <w:t xml:space="preserve"> for fields where aggregation is meaningless (e.g., an ID or a Year field that shouldn't be summed).</w:t>
      </w:r>
    </w:p>
    <w:p w14:paraId="7F814387" w14:textId="77777777" w:rsidR="0040359F" w:rsidRDefault="00000000">
      <w:pPr>
        <w:pStyle w:val="Heading2"/>
      </w:pPr>
      <w:bookmarkStart w:id="4" w:name="_Toc236395442"/>
      <w:r>
        <w:t>1.3 Formatting a Table (Format pane — paintbrush icon)</w:t>
      </w:r>
      <w:bookmarkEnd w:id="4"/>
    </w:p>
    <w:p w14:paraId="1D089EC3" w14:textId="77777777" w:rsidR="0040359F" w:rsidRDefault="00000000">
      <w:pPr>
        <w:spacing w:after="150"/>
      </w:pPr>
      <w:r>
        <w:t>Key formatting categories analysts must know for the exam:</w:t>
      </w:r>
    </w:p>
    <w:p w14:paraId="6EBF571C" w14:textId="77777777" w:rsidR="0040359F" w:rsidRDefault="00000000">
      <w:pPr>
        <w:pStyle w:val="ListParagraph"/>
        <w:numPr>
          <w:ilvl w:val="0"/>
          <w:numId w:val="1"/>
        </w:numPr>
        <w:spacing w:after="60"/>
      </w:pPr>
      <w:r>
        <w:rPr>
          <w:b/>
          <w:bCs/>
        </w:rPr>
        <w:t>Style presets</w:t>
      </w:r>
      <w:r>
        <w:t>: Power BI ships built-in styles (Default, Minimal, Bold Header, Alternating Rows, etc.) that can be applied instantly, then customized.</w:t>
      </w:r>
    </w:p>
    <w:p w14:paraId="3D7DB6D2" w14:textId="77777777" w:rsidR="0040359F" w:rsidRDefault="00000000">
      <w:pPr>
        <w:pStyle w:val="ListParagraph"/>
        <w:numPr>
          <w:ilvl w:val="0"/>
          <w:numId w:val="1"/>
        </w:numPr>
        <w:spacing w:after="60"/>
      </w:pPr>
      <w:r>
        <w:rPr>
          <w:b/>
          <w:bCs/>
        </w:rPr>
        <w:t>Grid</w:t>
      </w:r>
      <w:r>
        <w:t xml:space="preserve">: Controls vertical/horizontal gridlines, row padding, and border </w:t>
      </w:r>
      <w:proofErr w:type="spellStart"/>
      <w:r>
        <w:t>color</w:t>
      </w:r>
      <w:proofErr w:type="spellEnd"/>
      <w:r>
        <w:t>/width.</w:t>
      </w:r>
    </w:p>
    <w:p w14:paraId="1ADB74A0" w14:textId="77777777" w:rsidR="0040359F" w:rsidRDefault="00000000">
      <w:pPr>
        <w:pStyle w:val="ListParagraph"/>
        <w:numPr>
          <w:ilvl w:val="0"/>
          <w:numId w:val="1"/>
        </w:numPr>
        <w:spacing w:after="60"/>
      </w:pPr>
      <w:r>
        <w:rPr>
          <w:b/>
          <w:bCs/>
        </w:rPr>
        <w:t>Column headers</w:t>
      </w:r>
      <w:r>
        <w:t xml:space="preserve">: Font, background </w:t>
      </w:r>
      <w:proofErr w:type="spellStart"/>
      <w:r>
        <w:t>color</w:t>
      </w:r>
      <w:proofErr w:type="spellEnd"/>
      <w:r>
        <w:t xml:space="preserve">, alignment, text size, and auto-sizing </w:t>
      </w:r>
      <w:proofErr w:type="spellStart"/>
      <w:r>
        <w:t>behavior</w:t>
      </w:r>
      <w:proofErr w:type="spellEnd"/>
      <w:r>
        <w:t>.</w:t>
      </w:r>
    </w:p>
    <w:p w14:paraId="7015EBE6" w14:textId="77777777" w:rsidR="0040359F" w:rsidRDefault="00000000">
      <w:pPr>
        <w:pStyle w:val="ListParagraph"/>
        <w:numPr>
          <w:ilvl w:val="0"/>
          <w:numId w:val="1"/>
        </w:numPr>
        <w:spacing w:after="60"/>
      </w:pPr>
      <w:r>
        <w:rPr>
          <w:b/>
          <w:bCs/>
        </w:rPr>
        <w:t>Values</w:t>
      </w:r>
      <w:r>
        <w:t xml:space="preserve">: Font size, background </w:t>
      </w:r>
      <w:proofErr w:type="spellStart"/>
      <w:r>
        <w:t>color</w:t>
      </w:r>
      <w:proofErr w:type="spellEnd"/>
      <w:r>
        <w:t xml:space="preserve">, alternating row </w:t>
      </w:r>
      <w:proofErr w:type="spellStart"/>
      <w:r>
        <w:t>colors</w:t>
      </w:r>
      <w:proofErr w:type="spellEnd"/>
      <w:r>
        <w:t xml:space="preserve"> (banding), and per-column formatting via "Values → Specific column."</w:t>
      </w:r>
    </w:p>
    <w:p w14:paraId="1407C53A" w14:textId="77777777" w:rsidR="0040359F" w:rsidRDefault="00000000">
      <w:pPr>
        <w:pStyle w:val="ListParagraph"/>
        <w:numPr>
          <w:ilvl w:val="0"/>
          <w:numId w:val="1"/>
        </w:numPr>
        <w:spacing w:after="60"/>
      </w:pPr>
      <w:r>
        <w:rPr>
          <w:b/>
          <w:bCs/>
        </w:rPr>
        <w:t>Total</w:t>
      </w:r>
      <w:r>
        <w:t>: Toggle totals on/off, choose which aggregation shows in the totals row, bold/italicize totals.</w:t>
      </w:r>
    </w:p>
    <w:p w14:paraId="0926007D" w14:textId="77777777" w:rsidR="0040359F" w:rsidRDefault="00000000">
      <w:pPr>
        <w:pStyle w:val="ListParagraph"/>
        <w:numPr>
          <w:ilvl w:val="0"/>
          <w:numId w:val="1"/>
        </w:numPr>
        <w:spacing w:after="60"/>
      </w:pPr>
      <w:r>
        <w:rPr>
          <w:b/>
          <w:bCs/>
        </w:rPr>
        <w:t>Cell elements</w:t>
      </w:r>
      <w:r>
        <w:t xml:space="preserve"> (conditional formatting): Apply background </w:t>
      </w:r>
      <w:proofErr w:type="spellStart"/>
      <w:r>
        <w:t>color</w:t>
      </w:r>
      <w:proofErr w:type="spellEnd"/>
      <w:r>
        <w:t xml:space="preserve">, font </w:t>
      </w:r>
      <w:proofErr w:type="spellStart"/>
      <w:r>
        <w:t>color</w:t>
      </w:r>
      <w:proofErr w:type="spellEnd"/>
      <w:r>
        <w:t xml:space="preserve">, data bars, icons, or web URL rendering on a per-cell basis based on value or a measure. Accessed via the </w:t>
      </w:r>
      <w:proofErr w:type="spellStart"/>
      <w:r>
        <w:t>fx</w:t>
      </w:r>
      <w:proofErr w:type="spellEnd"/>
      <w:r>
        <w:t xml:space="preserve"> button next to "Values."</w:t>
      </w:r>
    </w:p>
    <w:p w14:paraId="11ED7AA7" w14:textId="77777777" w:rsidR="0040359F" w:rsidRDefault="00000000">
      <w:pPr>
        <w:pStyle w:val="ListParagraph"/>
        <w:numPr>
          <w:ilvl w:val="0"/>
          <w:numId w:val="1"/>
        </w:numPr>
        <w:spacing w:after="60"/>
      </w:pPr>
      <w:r>
        <w:rPr>
          <w:b/>
          <w:bCs/>
        </w:rPr>
        <w:t>Column formatting overrides</w:t>
      </w:r>
      <w:r>
        <w:t>: Right-click a column header, or use the Format pane's field-specific selector, to set number format (currency, percentage, decimal places) per column, independent of the underlying model formatting.</w:t>
      </w:r>
    </w:p>
    <w:p w14:paraId="530CC60B" w14:textId="77777777" w:rsidR="00C819E4" w:rsidRDefault="00C819E4" w:rsidP="00C819E4">
      <w:pPr>
        <w:spacing w:after="60"/>
      </w:pPr>
    </w:p>
    <w:p w14:paraId="625B5944" w14:textId="77777777" w:rsidR="00C819E4" w:rsidRDefault="00C819E4" w:rsidP="00C819E4">
      <w:pPr>
        <w:spacing w:after="60"/>
      </w:pPr>
    </w:p>
    <w:p w14:paraId="5E8717D5" w14:textId="77777777" w:rsidR="0040359F" w:rsidRDefault="00000000">
      <w:pPr>
        <w:pStyle w:val="Heading2"/>
      </w:pPr>
      <w:bookmarkStart w:id="5" w:name="_Toc236395443"/>
      <w:r>
        <w:lastRenderedPageBreak/>
        <w:t>1.4 Conditional Formatting in Depth</w:t>
      </w:r>
      <w:bookmarkEnd w:id="5"/>
    </w:p>
    <w:p w14:paraId="7FAA24EF" w14:textId="77777777" w:rsidR="0040359F" w:rsidRDefault="00000000">
      <w:pPr>
        <w:spacing w:after="150"/>
      </w:pPr>
      <w:r>
        <w:t>Conditional formatting is a heavily tested exam topic. Options include:</w:t>
      </w:r>
    </w:p>
    <w:p w14:paraId="3D57EDDE" w14:textId="77777777" w:rsidR="0040359F" w:rsidRDefault="00000000">
      <w:pPr>
        <w:pStyle w:val="ListParagraph"/>
        <w:numPr>
          <w:ilvl w:val="0"/>
          <w:numId w:val="1"/>
        </w:numPr>
        <w:spacing w:after="60"/>
      </w:pPr>
      <w:r>
        <w:rPr>
          <w:b/>
          <w:bCs/>
        </w:rPr>
        <w:t xml:space="preserve">Background/Font </w:t>
      </w:r>
      <w:proofErr w:type="spellStart"/>
      <w:r>
        <w:rPr>
          <w:b/>
          <w:bCs/>
        </w:rPr>
        <w:t>color</w:t>
      </w:r>
      <w:proofErr w:type="spellEnd"/>
      <w:r>
        <w:t xml:space="preserve">: Based on a </w:t>
      </w:r>
      <w:proofErr w:type="spellStart"/>
      <w:r>
        <w:t>color</w:t>
      </w:r>
      <w:proofErr w:type="spellEnd"/>
      <w:r>
        <w:t xml:space="preserve"> scale (min/mid/max), rules (if/then thresholds), or a field value.</w:t>
      </w:r>
    </w:p>
    <w:p w14:paraId="714D4007" w14:textId="77777777" w:rsidR="0040359F" w:rsidRDefault="00000000">
      <w:pPr>
        <w:pStyle w:val="ListParagraph"/>
        <w:numPr>
          <w:ilvl w:val="0"/>
          <w:numId w:val="1"/>
        </w:numPr>
        <w:spacing w:after="60"/>
      </w:pPr>
      <w:r>
        <w:rPr>
          <w:b/>
          <w:bCs/>
        </w:rPr>
        <w:t>Data bars</w:t>
      </w:r>
      <w:r>
        <w:t xml:space="preserve">: Mini in-cell bar charts showing relative magnitude; configurable min/max, positive/negative </w:t>
      </w:r>
      <w:proofErr w:type="spellStart"/>
      <w:r>
        <w:t>colors</w:t>
      </w:r>
      <w:proofErr w:type="spellEnd"/>
      <w:r>
        <w:t>, axis toggle.</w:t>
      </w:r>
    </w:p>
    <w:p w14:paraId="3B9E3957" w14:textId="77777777" w:rsidR="0040359F" w:rsidRDefault="00000000">
      <w:pPr>
        <w:pStyle w:val="ListParagraph"/>
        <w:numPr>
          <w:ilvl w:val="0"/>
          <w:numId w:val="1"/>
        </w:numPr>
        <w:spacing w:after="60"/>
      </w:pPr>
      <w:r>
        <w:rPr>
          <w:b/>
          <w:bCs/>
        </w:rPr>
        <w:t>Icons</w:t>
      </w:r>
      <w:r>
        <w:t>: Rule-based or field-based icon sets (traffic lights, arrows, shapes) placed before or after the value.</w:t>
      </w:r>
    </w:p>
    <w:p w14:paraId="400A8E8E" w14:textId="77777777" w:rsidR="0040359F" w:rsidRDefault="00000000">
      <w:pPr>
        <w:pStyle w:val="ListParagraph"/>
        <w:numPr>
          <w:ilvl w:val="0"/>
          <w:numId w:val="1"/>
        </w:numPr>
        <w:spacing w:after="60"/>
      </w:pPr>
      <w:r>
        <w:rPr>
          <w:b/>
          <w:bCs/>
        </w:rPr>
        <w:t>Web URL</w:t>
      </w:r>
      <w:r>
        <w:t>: Renders a text field as a clickable hyperlink, or renders an image if the field contains an image URL.</w:t>
      </w:r>
    </w:p>
    <w:p w14:paraId="700BB028" w14:textId="77777777" w:rsidR="0040359F" w:rsidRDefault="00000000">
      <w:pPr>
        <w:spacing w:after="150"/>
      </w:pPr>
      <w:r>
        <w:rPr>
          <w:b/>
          <w:bCs/>
        </w:rPr>
        <w:t>Case study</w:t>
      </w:r>
      <w:r>
        <w:t xml:space="preserve">: A sales table showing Region, Salesperson, Revenue, and Target. Apply data bars to Revenue for a quick visual scan, and a rules-based background </w:t>
      </w:r>
      <w:proofErr w:type="spellStart"/>
      <w:r>
        <w:t>color</w:t>
      </w:r>
      <w:proofErr w:type="spellEnd"/>
      <w:r>
        <w:t xml:space="preserve"> to a "Variance %" column (red if &lt;0%, yellow if 0–10%, green if &gt;10%) to instantly flag underperformers — this mirrors common exam scenarios asking you to "highlight values that fall below target."</w:t>
      </w:r>
    </w:p>
    <w:p w14:paraId="0B71CED1" w14:textId="77777777" w:rsidR="0040359F" w:rsidRDefault="00000000">
      <w:pPr>
        <w:pStyle w:val="Heading2"/>
      </w:pPr>
      <w:bookmarkStart w:id="6" w:name="_Toc236395444"/>
      <w:r>
        <w:t>1.5 Tables vs. Matrices — When to Choose Which</w:t>
      </w:r>
      <w:bookmarkEnd w:id="6"/>
    </w:p>
    <w:p w14:paraId="2817EB23" w14:textId="77777777" w:rsidR="0040359F" w:rsidRDefault="00000000">
      <w:pPr>
        <w:spacing w:after="150"/>
      </w:pPr>
      <w:r>
        <w:t>Use a table when data is flat/unpivoted and you don't need hierarchical drill-down. Use a matrix (see Part 3) when you need row/column grouping with subtotals, cross-tabulation, or drill-down through a hierarchy. This distinction is a classic exam scenario question.</w:t>
      </w:r>
    </w:p>
    <w:p w14:paraId="369DFB10" w14:textId="77777777" w:rsidR="00C819E4" w:rsidRDefault="00C819E4">
      <w:pPr>
        <w:spacing w:after="150"/>
      </w:pPr>
    </w:p>
    <w:p w14:paraId="5E852385" w14:textId="77777777" w:rsidR="00C819E4" w:rsidRDefault="00C819E4">
      <w:pPr>
        <w:spacing w:after="150"/>
      </w:pPr>
    </w:p>
    <w:p w14:paraId="49FDCD7C" w14:textId="77777777" w:rsidR="00C819E4" w:rsidRDefault="00C819E4">
      <w:pPr>
        <w:spacing w:after="150"/>
      </w:pPr>
    </w:p>
    <w:p w14:paraId="196B7AF5" w14:textId="77777777" w:rsidR="00C819E4" w:rsidRDefault="00C819E4">
      <w:pPr>
        <w:spacing w:after="150"/>
      </w:pPr>
    </w:p>
    <w:p w14:paraId="4CCAB4A7" w14:textId="77777777" w:rsidR="00C819E4" w:rsidRDefault="00C819E4">
      <w:pPr>
        <w:spacing w:after="150"/>
      </w:pPr>
    </w:p>
    <w:p w14:paraId="3DE621F1" w14:textId="77777777" w:rsidR="00C819E4" w:rsidRDefault="00C819E4">
      <w:pPr>
        <w:spacing w:after="150"/>
      </w:pPr>
    </w:p>
    <w:p w14:paraId="0BF5E81F" w14:textId="77777777" w:rsidR="00C819E4" w:rsidRDefault="00C819E4">
      <w:pPr>
        <w:spacing w:after="150"/>
      </w:pPr>
    </w:p>
    <w:p w14:paraId="6094B28D" w14:textId="77777777" w:rsidR="00C819E4" w:rsidRDefault="00C819E4">
      <w:pPr>
        <w:spacing w:after="150"/>
      </w:pPr>
    </w:p>
    <w:p w14:paraId="725A04C5" w14:textId="77777777" w:rsidR="00C819E4" w:rsidRDefault="00C819E4">
      <w:pPr>
        <w:spacing w:after="150"/>
      </w:pPr>
    </w:p>
    <w:p w14:paraId="5CCDD466" w14:textId="77777777" w:rsidR="00C819E4" w:rsidRDefault="00C819E4">
      <w:pPr>
        <w:spacing w:after="150"/>
      </w:pPr>
    </w:p>
    <w:p w14:paraId="46A8E850" w14:textId="77777777" w:rsidR="00C819E4" w:rsidRDefault="00C819E4">
      <w:pPr>
        <w:spacing w:after="150"/>
      </w:pPr>
    </w:p>
    <w:p w14:paraId="141D147D" w14:textId="77777777" w:rsidR="00C819E4" w:rsidRDefault="00C819E4">
      <w:pPr>
        <w:spacing w:after="150"/>
      </w:pPr>
    </w:p>
    <w:p w14:paraId="3BA52328" w14:textId="77777777" w:rsidR="00C819E4" w:rsidRDefault="00C819E4">
      <w:pPr>
        <w:spacing w:after="150"/>
      </w:pPr>
    </w:p>
    <w:p w14:paraId="1CB1F4FE" w14:textId="77777777" w:rsidR="00C819E4" w:rsidRDefault="00C819E4">
      <w:pPr>
        <w:spacing w:after="150"/>
      </w:pPr>
    </w:p>
    <w:p w14:paraId="4E47C4B4" w14:textId="77777777" w:rsidR="00C819E4" w:rsidRDefault="00C819E4">
      <w:pPr>
        <w:spacing w:after="150"/>
      </w:pPr>
    </w:p>
    <w:p w14:paraId="6735872C" w14:textId="77777777" w:rsidR="00C819E4" w:rsidRDefault="00C819E4">
      <w:pPr>
        <w:spacing w:after="150"/>
      </w:pPr>
    </w:p>
    <w:p w14:paraId="40A99769" w14:textId="77777777" w:rsidR="00C819E4" w:rsidRDefault="00C819E4">
      <w:pPr>
        <w:spacing w:after="150"/>
      </w:pPr>
    </w:p>
    <w:p w14:paraId="1C2E4238" w14:textId="77777777" w:rsidR="00C819E4" w:rsidRDefault="00C819E4">
      <w:pPr>
        <w:spacing w:after="150"/>
      </w:pPr>
    </w:p>
    <w:p w14:paraId="38A474EF" w14:textId="77777777" w:rsidR="0040359F" w:rsidRDefault="00000000">
      <w:pPr>
        <w:pStyle w:val="Heading1"/>
      </w:pPr>
      <w:bookmarkStart w:id="7" w:name="_Toc236395445"/>
      <w:r>
        <w:lastRenderedPageBreak/>
        <w:t>Part 2: Formatting Visualizations (General Principles)</w:t>
      </w:r>
      <w:bookmarkEnd w:id="7"/>
    </w:p>
    <w:p w14:paraId="1826B8C9" w14:textId="77777777" w:rsidR="0040359F" w:rsidRDefault="00000000">
      <w:pPr>
        <w:pStyle w:val="Heading2"/>
      </w:pPr>
      <w:bookmarkStart w:id="8" w:name="_Toc236395446"/>
      <w:r>
        <w:t>2.1 The Format Pane Structure</w:t>
      </w:r>
      <w:bookmarkEnd w:id="8"/>
    </w:p>
    <w:p w14:paraId="208BC732" w14:textId="77777777" w:rsidR="0040359F" w:rsidRDefault="00000000">
      <w:pPr>
        <w:spacing w:after="150"/>
      </w:pPr>
      <w:r>
        <w:t xml:space="preserve">Every visual in Power BI Desktop has a </w:t>
      </w:r>
      <w:r>
        <w:rPr>
          <w:b/>
          <w:bCs/>
        </w:rPr>
        <w:t>Format your visual</w:t>
      </w:r>
      <w:r>
        <w:t xml:space="preserve"> pane (paintbrush) divided into a </w:t>
      </w:r>
      <w:r>
        <w:rPr>
          <w:b/>
          <w:bCs/>
        </w:rPr>
        <w:t>Visual</w:t>
      </w:r>
      <w:r>
        <w:t xml:space="preserve"> tab (settings specific to the chosen chart type — axes, data </w:t>
      </w:r>
      <w:proofErr w:type="spellStart"/>
      <w:r>
        <w:t>colors</w:t>
      </w:r>
      <w:proofErr w:type="spellEnd"/>
      <w:r>
        <w:t xml:space="preserve">, legend) and a </w:t>
      </w:r>
      <w:r>
        <w:rPr>
          <w:b/>
          <w:bCs/>
        </w:rPr>
        <w:t>General</w:t>
      </w:r>
      <w:r>
        <w:t xml:space="preserve"> tab (settings common to all visuals: position/size, title, background, border, shadow, alt text, tooltips).</w:t>
      </w:r>
    </w:p>
    <w:p w14:paraId="2D658A47" w14:textId="77777777" w:rsidR="0040359F" w:rsidRDefault="00000000">
      <w:pPr>
        <w:pStyle w:val="Heading2"/>
      </w:pPr>
      <w:bookmarkStart w:id="9" w:name="_Toc236395447"/>
      <w:r>
        <w:t>2.2 Common Formatting Elements</w:t>
      </w:r>
      <w:bookmarkEnd w:id="9"/>
    </w:p>
    <w:p w14:paraId="2B7699B7" w14:textId="77777777" w:rsidR="0040359F" w:rsidRDefault="00000000">
      <w:pPr>
        <w:pStyle w:val="ListParagraph"/>
        <w:numPr>
          <w:ilvl w:val="0"/>
          <w:numId w:val="1"/>
        </w:numPr>
        <w:spacing w:after="60"/>
      </w:pPr>
      <w:r>
        <w:rPr>
          <w:b/>
          <w:bCs/>
        </w:rPr>
        <w:t>Title</w:t>
      </w:r>
      <w:r>
        <w:t xml:space="preserve">: Text, font, size, </w:t>
      </w:r>
      <w:proofErr w:type="spellStart"/>
      <w:r>
        <w:t>color</w:t>
      </w:r>
      <w:proofErr w:type="spellEnd"/>
      <w:r>
        <w:t>, alignment, background.</w:t>
      </w:r>
    </w:p>
    <w:p w14:paraId="7FF3C5BD" w14:textId="77777777" w:rsidR="0040359F" w:rsidRDefault="00000000">
      <w:pPr>
        <w:pStyle w:val="ListParagraph"/>
        <w:numPr>
          <w:ilvl w:val="0"/>
          <w:numId w:val="1"/>
        </w:numPr>
        <w:spacing w:after="60"/>
      </w:pPr>
      <w:r>
        <w:rPr>
          <w:b/>
          <w:bCs/>
        </w:rPr>
        <w:t>Background</w:t>
      </w:r>
      <w:r>
        <w:t xml:space="preserve">: </w:t>
      </w:r>
      <w:proofErr w:type="spellStart"/>
      <w:r>
        <w:t>Color</w:t>
      </w:r>
      <w:proofErr w:type="spellEnd"/>
      <w:r>
        <w:t xml:space="preserve"> and transparency of the visual's canvas area.</w:t>
      </w:r>
    </w:p>
    <w:p w14:paraId="45F5CFB5" w14:textId="77777777" w:rsidR="0040359F" w:rsidRDefault="00000000">
      <w:pPr>
        <w:pStyle w:val="ListParagraph"/>
        <w:numPr>
          <w:ilvl w:val="0"/>
          <w:numId w:val="1"/>
        </w:numPr>
        <w:spacing w:after="60"/>
      </w:pPr>
      <w:r>
        <w:rPr>
          <w:b/>
          <w:bCs/>
        </w:rPr>
        <w:t>Border</w:t>
      </w:r>
      <w:r>
        <w:t xml:space="preserve">: On/off, </w:t>
      </w:r>
      <w:proofErr w:type="spellStart"/>
      <w:r>
        <w:t>color</w:t>
      </w:r>
      <w:proofErr w:type="spellEnd"/>
      <w:r>
        <w:t>, radius (rounded corners), width.</w:t>
      </w:r>
    </w:p>
    <w:p w14:paraId="022E29E6" w14:textId="77777777" w:rsidR="0040359F" w:rsidRDefault="00000000">
      <w:pPr>
        <w:pStyle w:val="ListParagraph"/>
        <w:numPr>
          <w:ilvl w:val="0"/>
          <w:numId w:val="1"/>
        </w:numPr>
        <w:spacing w:after="60"/>
      </w:pPr>
      <w:r>
        <w:rPr>
          <w:b/>
          <w:bCs/>
        </w:rPr>
        <w:t>Shadow</w:t>
      </w:r>
      <w:r>
        <w:t>: Adds drop-shadow for visual depth.</w:t>
      </w:r>
    </w:p>
    <w:p w14:paraId="400A198C" w14:textId="77777777" w:rsidR="0040359F" w:rsidRDefault="00000000">
      <w:pPr>
        <w:pStyle w:val="ListParagraph"/>
        <w:numPr>
          <w:ilvl w:val="0"/>
          <w:numId w:val="1"/>
        </w:numPr>
        <w:spacing w:after="60"/>
      </w:pPr>
      <w:r>
        <w:rPr>
          <w:b/>
          <w:bCs/>
        </w:rPr>
        <w:t>Lock aspect ratio</w:t>
      </w:r>
      <w:r>
        <w:t>: Maintains proportions when resizing.</w:t>
      </w:r>
    </w:p>
    <w:p w14:paraId="5E82E428" w14:textId="77777777" w:rsidR="0040359F" w:rsidRDefault="00000000">
      <w:pPr>
        <w:pStyle w:val="ListParagraph"/>
        <w:numPr>
          <w:ilvl w:val="0"/>
          <w:numId w:val="1"/>
        </w:numPr>
        <w:spacing w:after="60"/>
      </w:pPr>
      <w:r>
        <w:rPr>
          <w:b/>
          <w:bCs/>
        </w:rPr>
        <w:t>Alt text</w:t>
      </w:r>
      <w:r>
        <w:t>: Critical for accessibility compliance (screen readers) — can be static or dynamically generated via a measure/expression.</w:t>
      </w:r>
    </w:p>
    <w:p w14:paraId="5E77AA45" w14:textId="77777777" w:rsidR="0040359F" w:rsidRDefault="00000000">
      <w:pPr>
        <w:pStyle w:val="ListParagraph"/>
        <w:numPr>
          <w:ilvl w:val="0"/>
          <w:numId w:val="1"/>
        </w:numPr>
        <w:spacing w:after="60"/>
      </w:pPr>
      <w:r>
        <w:rPr>
          <w:b/>
          <w:bCs/>
        </w:rPr>
        <w:t>Tooltips</w:t>
      </w:r>
      <w:r>
        <w:t xml:space="preserve">: Default tooltips show field values on hover; can be replaced with </w:t>
      </w:r>
      <w:r>
        <w:rPr>
          <w:b/>
          <w:bCs/>
        </w:rPr>
        <w:t>Report page tooltips</w:t>
      </w:r>
      <w:r>
        <w:t xml:space="preserve"> (see Part 6).</w:t>
      </w:r>
    </w:p>
    <w:p w14:paraId="2FCC0DCE" w14:textId="77777777" w:rsidR="0040359F" w:rsidRDefault="00000000">
      <w:pPr>
        <w:pStyle w:val="ListParagraph"/>
        <w:numPr>
          <w:ilvl w:val="0"/>
          <w:numId w:val="1"/>
        </w:numPr>
        <w:spacing w:after="60"/>
      </w:pPr>
      <w:r>
        <w:rPr>
          <w:b/>
          <w:bCs/>
        </w:rPr>
        <w:t xml:space="preserve">Data </w:t>
      </w:r>
      <w:proofErr w:type="spellStart"/>
      <w:r>
        <w:rPr>
          <w:b/>
          <w:bCs/>
        </w:rPr>
        <w:t>colors</w:t>
      </w:r>
      <w:proofErr w:type="spellEnd"/>
      <w:r>
        <w:t xml:space="preserve">: Per-series/category </w:t>
      </w:r>
      <w:proofErr w:type="spellStart"/>
      <w:r>
        <w:t>color</w:t>
      </w:r>
      <w:proofErr w:type="spellEnd"/>
      <w:r>
        <w:t xml:space="preserve"> assignment; supports conditional formatting via </w:t>
      </w:r>
      <w:proofErr w:type="spellStart"/>
      <w:r>
        <w:t>fx</w:t>
      </w:r>
      <w:proofErr w:type="spellEnd"/>
      <w:r>
        <w:t xml:space="preserve"> (rules or field value).</w:t>
      </w:r>
    </w:p>
    <w:p w14:paraId="423A7186" w14:textId="77777777" w:rsidR="0040359F" w:rsidRDefault="00000000">
      <w:pPr>
        <w:pStyle w:val="ListParagraph"/>
        <w:numPr>
          <w:ilvl w:val="0"/>
          <w:numId w:val="1"/>
        </w:numPr>
        <w:spacing w:after="60"/>
      </w:pPr>
      <w:r>
        <w:rPr>
          <w:b/>
          <w:bCs/>
        </w:rPr>
        <w:t>X-axis / Y-axis</w:t>
      </w:r>
      <w:r>
        <w:t>: Title on/off, font, gridlines, min/max range (fixed vs. auto), unit display, and category/value axis type.</w:t>
      </w:r>
    </w:p>
    <w:p w14:paraId="57220BC7" w14:textId="77777777" w:rsidR="0040359F" w:rsidRDefault="00000000">
      <w:pPr>
        <w:pStyle w:val="ListParagraph"/>
        <w:numPr>
          <w:ilvl w:val="0"/>
          <w:numId w:val="1"/>
        </w:numPr>
        <w:spacing w:after="60"/>
      </w:pPr>
      <w:r>
        <w:rPr>
          <w:b/>
          <w:bCs/>
        </w:rPr>
        <w:t>Legend</w:t>
      </w:r>
      <w:r>
        <w:t>: Position (top, bottom, left, right, top-left, etc.), font, and title.</w:t>
      </w:r>
    </w:p>
    <w:p w14:paraId="502AB2ED" w14:textId="77777777" w:rsidR="0040359F" w:rsidRDefault="00000000">
      <w:pPr>
        <w:pStyle w:val="ListParagraph"/>
        <w:numPr>
          <w:ilvl w:val="0"/>
          <w:numId w:val="1"/>
        </w:numPr>
        <w:spacing w:after="60"/>
      </w:pPr>
      <w:r>
        <w:rPr>
          <w:b/>
          <w:bCs/>
        </w:rPr>
        <w:t>Data labels</w:t>
      </w:r>
      <w:r>
        <w:t>: On/off, position, display units, decimal places, and background.</w:t>
      </w:r>
    </w:p>
    <w:p w14:paraId="111EFB94" w14:textId="77777777" w:rsidR="0040359F" w:rsidRDefault="00000000">
      <w:pPr>
        <w:pStyle w:val="Heading2"/>
      </w:pPr>
      <w:bookmarkStart w:id="10" w:name="_Toc236395448"/>
      <w:r>
        <w:t>2.3 Themes</w:t>
      </w:r>
      <w:bookmarkEnd w:id="10"/>
    </w:p>
    <w:p w14:paraId="6CA60932" w14:textId="77777777" w:rsidR="0040359F" w:rsidRDefault="00000000">
      <w:pPr>
        <w:spacing w:after="150"/>
      </w:pPr>
      <w:r>
        <w:t xml:space="preserve">Power BI supports </w:t>
      </w:r>
      <w:r>
        <w:rPr>
          <w:b/>
          <w:bCs/>
        </w:rPr>
        <w:t>report themes</w:t>
      </w:r>
      <w:r>
        <w:t xml:space="preserve"> — JSON files that define a consistent </w:t>
      </w:r>
      <w:proofErr w:type="spellStart"/>
      <w:r>
        <w:t>color</w:t>
      </w:r>
      <w:proofErr w:type="spellEnd"/>
      <w:r>
        <w:t xml:space="preserve"> palette, font family, and default formatting across every visual in a report. Themes can be:</w:t>
      </w:r>
    </w:p>
    <w:p w14:paraId="38BBB85A" w14:textId="77777777" w:rsidR="0040359F" w:rsidRDefault="00000000">
      <w:pPr>
        <w:pStyle w:val="ListParagraph"/>
        <w:numPr>
          <w:ilvl w:val="0"/>
          <w:numId w:val="1"/>
        </w:numPr>
        <w:spacing w:after="60"/>
      </w:pPr>
      <w:r>
        <w:t>Selected from built-in presets (View ribbon → Themes).</w:t>
      </w:r>
    </w:p>
    <w:p w14:paraId="149C31D6" w14:textId="77777777" w:rsidR="0040359F" w:rsidRDefault="00000000">
      <w:pPr>
        <w:pStyle w:val="ListParagraph"/>
        <w:numPr>
          <w:ilvl w:val="0"/>
          <w:numId w:val="1"/>
        </w:numPr>
        <w:spacing w:after="60"/>
      </w:pPr>
      <w:r>
        <w:t>Customized via the "Customize current theme" dialog (</w:t>
      </w:r>
      <w:proofErr w:type="spellStart"/>
      <w:r>
        <w:t>colors</w:t>
      </w:r>
      <w:proofErr w:type="spellEnd"/>
      <w:r>
        <w:t>, text, visual styles).</w:t>
      </w:r>
    </w:p>
    <w:p w14:paraId="473089C0" w14:textId="77777777" w:rsidR="0040359F" w:rsidRDefault="00000000">
      <w:pPr>
        <w:pStyle w:val="ListParagraph"/>
        <w:numPr>
          <w:ilvl w:val="0"/>
          <w:numId w:val="1"/>
        </w:numPr>
        <w:spacing w:after="60"/>
      </w:pPr>
      <w:r>
        <w:t>Imported as a custom JSON theme file (View → Browse for themes) — important for organizations enforcing brand guidelines.</w:t>
      </w:r>
    </w:p>
    <w:p w14:paraId="2C216EA2" w14:textId="77777777" w:rsidR="0040359F" w:rsidRDefault="00000000">
      <w:pPr>
        <w:spacing w:after="150"/>
      </w:pPr>
      <w:r>
        <w:t>Applying/switching a theme retroactively reformats all visuals that haven't had manual overrides.</w:t>
      </w:r>
    </w:p>
    <w:p w14:paraId="199DF533" w14:textId="77777777" w:rsidR="0040359F" w:rsidRDefault="00000000">
      <w:pPr>
        <w:pStyle w:val="Heading2"/>
      </w:pPr>
      <w:bookmarkStart w:id="11" w:name="_Toc236395449"/>
      <w:r>
        <w:t xml:space="preserve">2.4 Conditional Formatting via </w:t>
      </w:r>
      <w:proofErr w:type="spellStart"/>
      <w:r>
        <w:t>fx</w:t>
      </w:r>
      <w:proofErr w:type="spellEnd"/>
      <w:r>
        <w:t xml:space="preserve"> (General Pattern)</w:t>
      </w:r>
      <w:bookmarkEnd w:id="11"/>
    </w:p>
    <w:p w14:paraId="5BD46FC8" w14:textId="77777777" w:rsidR="0040359F" w:rsidRDefault="00000000">
      <w:pPr>
        <w:spacing w:after="150"/>
      </w:pPr>
      <w:r>
        <w:t>Nearly every numeric/</w:t>
      </w:r>
      <w:proofErr w:type="spellStart"/>
      <w:r>
        <w:t>color</w:t>
      </w:r>
      <w:proofErr w:type="spellEnd"/>
      <w:r>
        <w:t xml:space="preserve"> property across every visual type (bars, cards, table cells, backgrounds) can be bound to a measure or rule using the </w:t>
      </w:r>
      <w:proofErr w:type="spellStart"/>
      <w:r>
        <w:rPr>
          <w:b/>
          <w:bCs/>
        </w:rPr>
        <w:t>fx</w:t>
      </w:r>
      <w:proofErr w:type="spellEnd"/>
      <w:r>
        <w:t xml:space="preserve"> (function) icon next to that property. This is the single most reused mechanic across the whole "Format" domain and shows up repeatedly on the exam disguised as different visual types.</w:t>
      </w:r>
    </w:p>
    <w:p w14:paraId="7D6754BF" w14:textId="77777777" w:rsidR="00C819E4" w:rsidRDefault="00C819E4">
      <w:pPr>
        <w:spacing w:after="150"/>
      </w:pPr>
    </w:p>
    <w:p w14:paraId="656884C5" w14:textId="77777777" w:rsidR="00C819E4" w:rsidRDefault="00C819E4">
      <w:pPr>
        <w:spacing w:after="150"/>
      </w:pPr>
    </w:p>
    <w:p w14:paraId="7FD125B7" w14:textId="77777777" w:rsidR="0040359F" w:rsidRDefault="00000000">
      <w:pPr>
        <w:pStyle w:val="Heading1"/>
      </w:pPr>
      <w:bookmarkStart w:id="12" w:name="_Toc236395450"/>
      <w:r>
        <w:lastRenderedPageBreak/>
        <w:t>Part 3: Matrices and Bar Charts</w:t>
      </w:r>
      <w:bookmarkEnd w:id="12"/>
    </w:p>
    <w:p w14:paraId="15A0EA6C" w14:textId="77777777" w:rsidR="0040359F" w:rsidRDefault="00000000">
      <w:pPr>
        <w:pStyle w:val="Heading2"/>
      </w:pPr>
      <w:bookmarkStart w:id="13" w:name="_Toc236395451"/>
      <w:r>
        <w:t>3.1 The Matrix Visual</w:t>
      </w:r>
      <w:bookmarkEnd w:id="13"/>
    </w:p>
    <w:p w14:paraId="594DFE56" w14:textId="77777777" w:rsidR="0040359F" w:rsidRDefault="00000000">
      <w:pPr>
        <w:spacing w:after="150"/>
      </w:pPr>
      <w:r>
        <w:t xml:space="preserve">A </w:t>
      </w:r>
      <w:r>
        <w:rPr>
          <w:b/>
          <w:bCs/>
        </w:rPr>
        <w:t>Matrix</w:t>
      </w:r>
      <w:r>
        <w:t xml:space="preserve"> is Power BI's pivot-table equivalent. Key capabilities beyond a table:</w:t>
      </w:r>
    </w:p>
    <w:p w14:paraId="2022FF90" w14:textId="77777777" w:rsidR="0040359F" w:rsidRDefault="00000000">
      <w:pPr>
        <w:pStyle w:val="ListParagraph"/>
        <w:numPr>
          <w:ilvl w:val="0"/>
          <w:numId w:val="1"/>
        </w:numPr>
        <w:spacing w:after="60"/>
      </w:pPr>
      <w:r>
        <w:rPr>
          <w:b/>
          <w:bCs/>
        </w:rPr>
        <w:t>Rows and Columns wells</w:t>
      </w:r>
      <w:r>
        <w:t>: Drag fields to both to create a cross-tab (e.g., Product Category down the rows, Year across the columns, Sales in Values).</w:t>
      </w:r>
    </w:p>
    <w:p w14:paraId="79B2F460" w14:textId="77777777" w:rsidR="0040359F" w:rsidRDefault="00000000">
      <w:pPr>
        <w:pStyle w:val="ListParagraph"/>
        <w:numPr>
          <w:ilvl w:val="0"/>
          <w:numId w:val="1"/>
        </w:numPr>
        <w:spacing w:after="60"/>
      </w:pPr>
      <w:r>
        <w:rPr>
          <w:b/>
          <w:bCs/>
        </w:rPr>
        <w:t>Hierarchies and drill-down</w:t>
      </w:r>
      <w:r>
        <w:t>: If you drag a natural hierarchy (e.g., Date hierarchy: Year → Quarter → Month → Day, or a custom hierarchy built in Model view) into Rows or Columns, the matrix supports:</w:t>
      </w:r>
    </w:p>
    <w:p w14:paraId="61560880" w14:textId="77777777" w:rsidR="0040359F" w:rsidRDefault="00000000">
      <w:pPr>
        <w:pStyle w:val="ListParagraph"/>
        <w:numPr>
          <w:ilvl w:val="0"/>
          <w:numId w:val="1"/>
        </w:numPr>
        <w:spacing w:after="60"/>
      </w:pPr>
      <w:r>
        <w:rPr>
          <w:b/>
          <w:bCs/>
        </w:rPr>
        <w:t>Drill down</w:t>
      </w:r>
      <w:r>
        <w:t xml:space="preserve"> (double-click/expand a cell) to go one level deeper for that specific member.</w:t>
      </w:r>
    </w:p>
    <w:p w14:paraId="3C90F9A1" w14:textId="77777777" w:rsidR="0040359F" w:rsidRDefault="00000000">
      <w:pPr>
        <w:pStyle w:val="ListParagraph"/>
        <w:numPr>
          <w:ilvl w:val="0"/>
          <w:numId w:val="1"/>
        </w:numPr>
        <w:spacing w:after="60"/>
      </w:pPr>
      <w:r>
        <w:rPr>
          <w:b/>
          <w:bCs/>
        </w:rPr>
        <w:t>Expand to next level</w:t>
      </w:r>
      <w:r>
        <w:t xml:space="preserve"> to expand all members simultaneously.</w:t>
      </w:r>
    </w:p>
    <w:p w14:paraId="20C57B3E" w14:textId="77777777" w:rsidR="0040359F" w:rsidRDefault="00000000">
      <w:pPr>
        <w:pStyle w:val="ListParagraph"/>
        <w:numPr>
          <w:ilvl w:val="0"/>
          <w:numId w:val="1"/>
        </w:numPr>
        <w:spacing w:after="60"/>
      </w:pPr>
      <w:r>
        <w:rPr>
          <w:b/>
          <w:bCs/>
        </w:rPr>
        <w:t>Drill up</w:t>
      </w:r>
      <w:r>
        <w:t xml:space="preserve"> to go back.</w:t>
      </w:r>
    </w:p>
    <w:p w14:paraId="5315C6A0" w14:textId="77777777" w:rsidR="0040359F" w:rsidRDefault="00000000">
      <w:pPr>
        <w:pStyle w:val="ListParagraph"/>
        <w:numPr>
          <w:ilvl w:val="0"/>
          <w:numId w:val="1"/>
        </w:numPr>
        <w:spacing w:after="60"/>
      </w:pPr>
      <w:r>
        <w:rPr>
          <w:b/>
          <w:bCs/>
        </w:rPr>
        <w:t>Stepped layout</w:t>
      </w:r>
      <w:r>
        <w:t>: Toggle on/off; when on, child rows are indented under parent rows (classic pivot look); when off, each level gets its own column.</w:t>
      </w:r>
    </w:p>
    <w:p w14:paraId="0571BE72" w14:textId="77777777" w:rsidR="0040359F" w:rsidRDefault="00000000">
      <w:pPr>
        <w:pStyle w:val="ListParagraph"/>
        <w:numPr>
          <w:ilvl w:val="0"/>
          <w:numId w:val="1"/>
        </w:numPr>
        <w:spacing w:after="60"/>
      </w:pPr>
      <w:r>
        <w:rPr>
          <w:b/>
          <w:bCs/>
        </w:rPr>
        <w:t>Subtotals and Grand totals</w:t>
      </w:r>
      <w:r>
        <w:t>: Configurable independently per row level and column level — can be turned off entirely, shown only at specific levels.</w:t>
      </w:r>
    </w:p>
    <w:p w14:paraId="77A3D87A" w14:textId="77777777" w:rsidR="0040359F" w:rsidRDefault="00000000">
      <w:pPr>
        <w:pStyle w:val="ListParagraph"/>
        <w:numPr>
          <w:ilvl w:val="0"/>
          <w:numId w:val="1"/>
        </w:numPr>
        <w:spacing w:after="60"/>
      </w:pPr>
      <w:r>
        <w:rPr>
          <w:b/>
          <w:bCs/>
        </w:rPr>
        <w:t>Conditional formatting</w:t>
      </w:r>
      <w:r>
        <w:t xml:space="preserve">: Same </w:t>
      </w:r>
      <w:proofErr w:type="spellStart"/>
      <w:r>
        <w:t>fx</w:t>
      </w:r>
      <w:proofErr w:type="spellEnd"/>
      <w:r>
        <w:t>-based rules/</w:t>
      </w:r>
      <w:proofErr w:type="spellStart"/>
      <w:r>
        <w:t>color</w:t>
      </w:r>
      <w:proofErr w:type="spellEnd"/>
      <w:r>
        <w:t xml:space="preserve"> scales/data bars/icons as tables, applicable per-value-field.</w:t>
      </w:r>
    </w:p>
    <w:p w14:paraId="63B4C1F2" w14:textId="77777777" w:rsidR="0040359F" w:rsidRDefault="00000000">
      <w:pPr>
        <w:pStyle w:val="ListParagraph"/>
        <w:numPr>
          <w:ilvl w:val="0"/>
          <w:numId w:val="1"/>
        </w:numPr>
        <w:spacing w:after="60"/>
      </w:pPr>
      <w:r>
        <w:rPr>
          <w:b/>
          <w:bCs/>
        </w:rPr>
        <w:t>Row/column headers formatting</w:t>
      </w:r>
      <w:r>
        <w:t>: Separate style controls for row headers vs. column headers vs. values vs. subtotal rows.</w:t>
      </w:r>
    </w:p>
    <w:p w14:paraId="2881440C" w14:textId="77777777" w:rsidR="0040359F" w:rsidRDefault="00000000">
      <w:pPr>
        <w:spacing w:after="150"/>
      </w:pPr>
      <w:r>
        <w:rPr>
          <w:b/>
          <w:bCs/>
        </w:rPr>
        <w:t>Case study</w:t>
      </w:r>
      <w:r>
        <w:t>: A finance report needing Region → Country → City down the rows and Year → Quarter across the columns, with Sales and Budget as two value fields, subtotals at the Region and Year level only — a canonical matrix exam scenario testing per-level subtotal visibility.</w:t>
      </w:r>
    </w:p>
    <w:p w14:paraId="021C3FC1" w14:textId="77777777" w:rsidR="0040359F" w:rsidRDefault="00000000">
      <w:pPr>
        <w:pStyle w:val="Heading2"/>
      </w:pPr>
      <w:bookmarkStart w:id="14" w:name="_Toc236395452"/>
      <w:r>
        <w:t>3.2 Bar and Column Charts</w:t>
      </w:r>
      <w:bookmarkEnd w:id="14"/>
    </w:p>
    <w:p w14:paraId="10C675DB" w14:textId="77777777" w:rsidR="0040359F" w:rsidRDefault="00000000">
      <w:pPr>
        <w:spacing w:after="150"/>
      </w:pPr>
      <w:r>
        <w:t>Power BI offers four core variants:</w:t>
      </w:r>
    </w:p>
    <w:p w14:paraId="28A40284" w14:textId="77777777" w:rsidR="0040359F" w:rsidRDefault="00000000">
      <w:pPr>
        <w:pStyle w:val="ListParagraph"/>
        <w:numPr>
          <w:ilvl w:val="0"/>
          <w:numId w:val="1"/>
        </w:numPr>
        <w:spacing w:after="60"/>
      </w:pPr>
      <w:r>
        <w:rPr>
          <w:b/>
          <w:bCs/>
        </w:rPr>
        <w:t>Clustered column chart</w:t>
      </w:r>
      <w:r>
        <w:t xml:space="preserve"> (vertical bars, grouped side by side per category) — for comparing subcategories within categories.</w:t>
      </w:r>
    </w:p>
    <w:p w14:paraId="37015606" w14:textId="77777777" w:rsidR="0040359F" w:rsidRDefault="00000000">
      <w:pPr>
        <w:pStyle w:val="ListParagraph"/>
        <w:numPr>
          <w:ilvl w:val="0"/>
          <w:numId w:val="1"/>
        </w:numPr>
        <w:spacing w:after="60"/>
      </w:pPr>
      <w:r>
        <w:rPr>
          <w:b/>
          <w:bCs/>
        </w:rPr>
        <w:t>Stacked column chart</w:t>
      </w:r>
      <w:r>
        <w:t xml:space="preserve"> (vertical bars, segments stacked) — for showing part-to-whole plus a total per category.</w:t>
      </w:r>
    </w:p>
    <w:p w14:paraId="494DF660" w14:textId="77777777" w:rsidR="0040359F" w:rsidRDefault="00000000">
      <w:pPr>
        <w:pStyle w:val="ListParagraph"/>
        <w:numPr>
          <w:ilvl w:val="0"/>
          <w:numId w:val="1"/>
        </w:numPr>
        <w:spacing w:after="60"/>
      </w:pPr>
      <w:r>
        <w:rPr>
          <w:b/>
          <w:bCs/>
        </w:rPr>
        <w:t>Clustered bar chart</w:t>
      </w:r>
      <w:r>
        <w:t xml:space="preserve"> (horizontal version of clustered column) — preferred when category labels are long.</w:t>
      </w:r>
    </w:p>
    <w:p w14:paraId="4EF1A4AE" w14:textId="77777777" w:rsidR="0040359F" w:rsidRDefault="00000000">
      <w:pPr>
        <w:pStyle w:val="ListParagraph"/>
        <w:numPr>
          <w:ilvl w:val="0"/>
          <w:numId w:val="1"/>
        </w:numPr>
        <w:spacing w:after="60"/>
      </w:pPr>
      <w:r>
        <w:rPr>
          <w:b/>
          <w:bCs/>
        </w:rPr>
        <w:t>Stacked bar chart</w:t>
      </w:r>
      <w:r>
        <w:t xml:space="preserve"> (horizontal stacked).</w:t>
      </w:r>
    </w:p>
    <w:p w14:paraId="27477EF4" w14:textId="77777777" w:rsidR="0040359F" w:rsidRDefault="00000000">
      <w:pPr>
        <w:pStyle w:val="ListParagraph"/>
        <w:numPr>
          <w:ilvl w:val="0"/>
          <w:numId w:val="1"/>
        </w:numPr>
        <w:spacing w:after="60"/>
      </w:pPr>
      <w:r>
        <w:rPr>
          <w:b/>
          <w:bCs/>
        </w:rPr>
        <w:t>100% Stacked column/bar chart</w:t>
      </w:r>
      <w:r>
        <w:t>: Normalizes each bar to 100%, showing relative proportion rather than absolute value — used when comparing composition/mix across categories regardless of total size differences.</w:t>
      </w:r>
    </w:p>
    <w:p w14:paraId="7CDE2503" w14:textId="77777777" w:rsidR="0040359F" w:rsidRDefault="00000000">
      <w:pPr>
        <w:pStyle w:val="Heading3"/>
      </w:pPr>
      <w:bookmarkStart w:id="15" w:name="_Toc236395453"/>
      <w:r>
        <w:t>Configuration wells</w:t>
      </w:r>
      <w:bookmarkEnd w:id="15"/>
    </w:p>
    <w:p w14:paraId="713EE424" w14:textId="77777777" w:rsidR="0040359F" w:rsidRDefault="00000000">
      <w:pPr>
        <w:spacing w:after="150"/>
      </w:pPr>
      <w:r>
        <w:rPr>
          <w:b/>
          <w:bCs/>
        </w:rPr>
        <w:t>Axis</w:t>
      </w:r>
      <w:r>
        <w:t xml:space="preserve"> (category), </w:t>
      </w:r>
      <w:r>
        <w:rPr>
          <w:b/>
          <w:bCs/>
        </w:rPr>
        <w:t>Legend</w:t>
      </w:r>
      <w:r>
        <w:t xml:space="preserve"> (series/breakdown), </w:t>
      </w:r>
      <w:r>
        <w:rPr>
          <w:b/>
          <w:bCs/>
        </w:rPr>
        <w:t>Values</w:t>
      </w:r>
      <w:r>
        <w:t xml:space="preserve"> (measure), and optionally </w:t>
      </w:r>
      <w:r>
        <w:rPr>
          <w:b/>
          <w:bCs/>
        </w:rPr>
        <w:t>Small multiples</w:t>
      </w:r>
      <w:r>
        <w:t xml:space="preserve"> (Part 5) and </w:t>
      </w:r>
      <w:r>
        <w:rPr>
          <w:b/>
          <w:bCs/>
        </w:rPr>
        <w:t>Tooltips</w:t>
      </w:r>
      <w:r>
        <w:t>.</w:t>
      </w:r>
    </w:p>
    <w:p w14:paraId="14C32341" w14:textId="77777777" w:rsidR="0040359F" w:rsidRDefault="00000000">
      <w:pPr>
        <w:pStyle w:val="Heading3"/>
      </w:pPr>
      <w:bookmarkStart w:id="16" w:name="_Toc236395454"/>
      <w:r>
        <w:t>Key formatting options specific to bar/column charts</w:t>
      </w:r>
      <w:bookmarkEnd w:id="16"/>
    </w:p>
    <w:p w14:paraId="1D2C36ED" w14:textId="77777777" w:rsidR="0040359F" w:rsidRDefault="00000000">
      <w:pPr>
        <w:spacing w:after="150"/>
      </w:pPr>
      <w:r>
        <w:t xml:space="preserve">Data </w:t>
      </w:r>
      <w:proofErr w:type="spellStart"/>
      <w:r>
        <w:t>colors</w:t>
      </w:r>
      <w:proofErr w:type="spellEnd"/>
      <w:r>
        <w:t xml:space="preserve"> per series; data labels (value, percentage of total for 100% stacked); gridlines; axis sorting (ascending/descending by category name or by value, via the "..." More options menu → Sort axis); reference lines (Analytics pane — Part 10).</w:t>
      </w:r>
    </w:p>
    <w:p w14:paraId="4443F26C" w14:textId="77777777" w:rsidR="0040359F" w:rsidRDefault="00000000">
      <w:pPr>
        <w:spacing w:after="150"/>
      </w:pPr>
      <w:r>
        <w:rPr>
          <w:b/>
          <w:bCs/>
        </w:rPr>
        <w:lastRenderedPageBreak/>
        <w:t>When to use bar vs. column</w:t>
      </w:r>
      <w:r>
        <w:t>: Column charts are best for time-series or a moderate number of short category labels; bar charts are best when there are many categories or long text labels, since horizontal orientation gives labels more room and avoids rotation/truncation.</w:t>
      </w:r>
    </w:p>
    <w:p w14:paraId="7DB7E848" w14:textId="77777777" w:rsidR="0040359F" w:rsidRDefault="00000000">
      <w:pPr>
        <w:pStyle w:val="Heading2"/>
      </w:pPr>
      <w:bookmarkStart w:id="17" w:name="_Toc236395455"/>
      <w:r>
        <w:t>3.3 Combo Charts (Line and Clustered/Stacked Column)</w:t>
      </w:r>
      <w:bookmarkEnd w:id="17"/>
    </w:p>
    <w:p w14:paraId="13570433" w14:textId="77777777" w:rsidR="0040359F" w:rsidRDefault="00000000">
      <w:pPr>
        <w:spacing w:after="150"/>
      </w:pPr>
      <w:r>
        <w:t xml:space="preserve">A combo chart overlays a line series (often on a secondary axis) with column series — used to compare two measures with different scales or units (e.g., Sales in $ as columns vs. Profit Margin % as a line). Configuration includes separate wells for </w:t>
      </w:r>
      <w:r>
        <w:rPr>
          <w:b/>
          <w:bCs/>
        </w:rPr>
        <w:t>Column values</w:t>
      </w:r>
      <w:r>
        <w:t xml:space="preserve">, </w:t>
      </w:r>
      <w:r>
        <w:rPr>
          <w:b/>
          <w:bCs/>
        </w:rPr>
        <w:t>Line values</w:t>
      </w:r>
      <w:r>
        <w:t xml:space="preserve">, and toggling a </w:t>
      </w:r>
      <w:r>
        <w:rPr>
          <w:b/>
          <w:bCs/>
        </w:rPr>
        <w:t>secondary axis</w:t>
      </w:r>
      <w:r>
        <w:t>.</w:t>
      </w:r>
    </w:p>
    <w:p w14:paraId="5EE8016C" w14:textId="77777777" w:rsidR="00C819E4" w:rsidRDefault="00C819E4">
      <w:pPr>
        <w:spacing w:after="150"/>
      </w:pPr>
    </w:p>
    <w:p w14:paraId="5A3DC448" w14:textId="77777777" w:rsidR="00C819E4" w:rsidRDefault="00C819E4">
      <w:pPr>
        <w:spacing w:after="150"/>
      </w:pPr>
    </w:p>
    <w:p w14:paraId="1292D9B8" w14:textId="77777777" w:rsidR="00C819E4" w:rsidRDefault="00C819E4">
      <w:pPr>
        <w:spacing w:after="150"/>
      </w:pPr>
    </w:p>
    <w:p w14:paraId="4046EA2F" w14:textId="77777777" w:rsidR="00C819E4" w:rsidRDefault="00C819E4">
      <w:pPr>
        <w:spacing w:after="150"/>
      </w:pPr>
    </w:p>
    <w:p w14:paraId="28854B7F" w14:textId="77777777" w:rsidR="00C819E4" w:rsidRDefault="00C819E4">
      <w:pPr>
        <w:spacing w:after="150"/>
      </w:pPr>
    </w:p>
    <w:p w14:paraId="667021B2" w14:textId="77777777" w:rsidR="00C819E4" w:rsidRDefault="00C819E4">
      <w:pPr>
        <w:spacing w:after="150"/>
      </w:pPr>
    </w:p>
    <w:p w14:paraId="30FD73FD" w14:textId="77777777" w:rsidR="00C819E4" w:rsidRDefault="00C819E4">
      <w:pPr>
        <w:spacing w:after="150"/>
      </w:pPr>
    </w:p>
    <w:p w14:paraId="1396B44A" w14:textId="77777777" w:rsidR="00C819E4" w:rsidRDefault="00C819E4">
      <w:pPr>
        <w:spacing w:after="150"/>
      </w:pPr>
    </w:p>
    <w:p w14:paraId="618FC3B9" w14:textId="77777777" w:rsidR="00C819E4" w:rsidRDefault="00C819E4">
      <w:pPr>
        <w:spacing w:after="150"/>
      </w:pPr>
    </w:p>
    <w:p w14:paraId="0C48DDB1" w14:textId="77777777" w:rsidR="0040359F" w:rsidRDefault="00000000">
      <w:pPr>
        <w:pStyle w:val="Heading1"/>
      </w:pPr>
      <w:bookmarkStart w:id="18" w:name="_Toc236395456"/>
      <w:r>
        <w:t>Part 4: Filters and Slicers</w:t>
      </w:r>
      <w:bookmarkEnd w:id="18"/>
    </w:p>
    <w:p w14:paraId="626D7583" w14:textId="77777777" w:rsidR="0040359F" w:rsidRDefault="00000000">
      <w:pPr>
        <w:pStyle w:val="Heading2"/>
      </w:pPr>
      <w:bookmarkStart w:id="19" w:name="_Toc236395457"/>
      <w:r>
        <w:t>4.1 The Filters Pane — Four Scopes</w:t>
      </w:r>
      <w:bookmarkEnd w:id="19"/>
    </w:p>
    <w:p w14:paraId="1C4214DC" w14:textId="77777777" w:rsidR="0040359F" w:rsidRDefault="00000000">
      <w:pPr>
        <w:spacing w:after="150"/>
      </w:pPr>
      <w:r>
        <w:t>Power BI filters apply at four hierarchical scopes:</w:t>
      </w:r>
    </w:p>
    <w:p w14:paraId="2E26EF79" w14:textId="77777777" w:rsidR="0040359F" w:rsidRDefault="00000000">
      <w:pPr>
        <w:pStyle w:val="ListParagraph"/>
        <w:numPr>
          <w:ilvl w:val="0"/>
          <w:numId w:val="2"/>
        </w:numPr>
        <w:spacing w:after="60"/>
      </w:pPr>
      <w:r>
        <w:rPr>
          <w:b/>
          <w:bCs/>
        </w:rPr>
        <w:t>Filters on this visual</w:t>
      </w:r>
      <w:r>
        <w:t>: Applies only to the selected visual.</w:t>
      </w:r>
    </w:p>
    <w:p w14:paraId="26BDCD99" w14:textId="77777777" w:rsidR="0040359F" w:rsidRDefault="00000000">
      <w:pPr>
        <w:pStyle w:val="ListParagraph"/>
        <w:numPr>
          <w:ilvl w:val="0"/>
          <w:numId w:val="2"/>
        </w:numPr>
        <w:spacing w:after="60"/>
      </w:pPr>
      <w:r>
        <w:rPr>
          <w:b/>
          <w:bCs/>
        </w:rPr>
        <w:t>Filters on this page</w:t>
      </w:r>
      <w:r>
        <w:t>: Applies to every visual on the current report page.</w:t>
      </w:r>
    </w:p>
    <w:p w14:paraId="5A853BD9" w14:textId="77777777" w:rsidR="0040359F" w:rsidRDefault="00000000">
      <w:pPr>
        <w:pStyle w:val="ListParagraph"/>
        <w:numPr>
          <w:ilvl w:val="0"/>
          <w:numId w:val="2"/>
        </w:numPr>
        <w:spacing w:after="60"/>
      </w:pPr>
      <w:r>
        <w:rPr>
          <w:b/>
          <w:bCs/>
        </w:rPr>
        <w:t>Filters on all pages</w:t>
      </w:r>
      <w:r>
        <w:t>: Applies report-wide, across every page.</w:t>
      </w:r>
    </w:p>
    <w:p w14:paraId="4455E8CC" w14:textId="77777777" w:rsidR="0040359F" w:rsidRDefault="00000000">
      <w:pPr>
        <w:pStyle w:val="ListParagraph"/>
        <w:numPr>
          <w:ilvl w:val="0"/>
          <w:numId w:val="2"/>
        </w:numPr>
        <w:spacing w:after="60"/>
      </w:pPr>
      <w:proofErr w:type="spellStart"/>
      <w:r>
        <w:rPr>
          <w:b/>
          <w:bCs/>
        </w:rPr>
        <w:t>Drillthrough</w:t>
      </w:r>
      <w:proofErr w:type="spellEnd"/>
      <w:r>
        <w:rPr>
          <w:b/>
          <w:bCs/>
        </w:rPr>
        <w:t xml:space="preserve"> filters</w:t>
      </w:r>
      <w:r>
        <w:t xml:space="preserve">: A special filter card that appears when a page is configured as a </w:t>
      </w:r>
      <w:proofErr w:type="spellStart"/>
      <w:r>
        <w:t>drillthrough</w:t>
      </w:r>
      <w:proofErr w:type="spellEnd"/>
      <w:r>
        <w:t xml:space="preserve"> target (Part 6).</w:t>
      </w:r>
    </w:p>
    <w:p w14:paraId="2ED0A257" w14:textId="77777777" w:rsidR="0040359F" w:rsidRDefault="00000000">
      <w:pPr>
        <w:spacing w:after="150"/>
      </w:pPr>
      <w:r>
        <w:t xml:space="preserve">Filters at a more specific scope don't override broader ones — all applicable filters (visual + page + report + </w:t>
      </w:r>
      <w:proofErr w:type="spellStart"/>
      <w:r>
        <w:t>drillthrough</w:t>
      </w:r>
      <w:proofErr w:type="spellEnd"/>
      <w:r>
        <w:t xml:space="preserve"> + slicer selections) combine with AND logic simultaneously.</w:t>
      </w:r>
    </w:p>
    <w:p w14:paraId="14F0C158" w14:textId="77777777" w:rsidR="0040359F" w:rsidRDefault="00000000">
      <w:pPr>
        <w:pStyle w:val="Heading2"/>
      </w:pPr>
      <w:bookmarkStart w:id="20" w:name="_Toc236395458"/>
      <w:r>
        <w:t>4.2 Filter Types</w:t>
      </w:r>
      <w:bookmarkEnd w:id="20"/>
    </w:p>
    <w:p w14:paraId="7336095C" w14:textId="77777777" w:rsidR="0040359F" w:rsidRDefault="00000000">
      <w:pPr>
        <w:pStyle w:val="ListParagraph"/>
        <w:numPr>
          <w:ilvl w:val="0"/>
          <w:numId w:val="1"/>
        </w:numPr>
        <w:spacing w:after="60"/>
      </w:pPr>
      <w:r>
        <w:rPr>
          <w:b/>
          <w:bCs/>
        </w:rPr>
        <w:t>Basic filtering</w:t>
      </w:r>
      <w:r>
        <w:t>: Checkbox list of values; supports search.</w:t>
      </w:r>
    </w:p>
    <w:p w14:paraId="7B11F7B1" w14:textId="77777777" w:rsidR="0040359F" w:rsidRDefault="00000000">
      <w:pPr>
        <w:pStyle w:val="ListParagraph"/>
        <w:numPr>
          <w:ilvl w:val="0"/>
          <w:numId w:val="1"/>
        </w:numPr>
        <w:spacing w:after="60"/>
      </w:pPr>
      <w:r>
        <w:rPr>
          <w:b/>
          <w:bCs/>
        </w:rPr>
        <w:t>Advanced filtering</w:t>
      </w:r>
      <w:r>
        <w:t>: Condition-based (e.g., "is greater than," "contains," "starts with"), with up to two conditions combined by AND/OR.</w:t>
      </w:r>
    </w:p>
    <w:p w14:paraId="7B584971" w14:textId="77777777" w:rsidR="0040359F" w:rsidRDefault="00000000">
      <w:pPr>
        <w:pStyle w:val="ListParagraph"/>
        <w:numPr>
          <w:ilvl w:val="0"/>
          <w:numId w:val="1"/>
        </w:numPr>
        <w:spacing w:after="60"/>
      </w:pPr>
      <w:r>
        <w:rPr>
          <w:b/>
          <w:bCs/>
        </w:rPr>
        <w:t>Top N filtering</w:t>
      </w:r>
      <w:r>
        <w:t>: Filters to the top or bottom N items by a value field. Top N is calculated *after* other filters are applied, and ties can cause more than N rows to display.</w:t>
      </w:r>
    </w:p>
    <w:p w14:paraId="050675E8" w14:textId="77777777" w:rsidR="0040359F" w:rsidRDefault="00000000">
      <w:pPr>
        <w:pStyle w:val="ListParagraph"/>
        <w:numPr>
          <w:ilvl w:val="0"/>
          <w:numId w:val="1"/>
        </w:numPr>
        <w:spacing w:after="60"/>
      </w:pPr>
      <w:r>
        <w:rPr>
          <w:b/>
          <w:bCs/>
        </w:rPr>
        <w:t>Relative date/time filtering</w:t>
      </w:r>
      <w:r>
        <w:t>: E.g., "in the last 30 days," "this fiscal year" — dynamic, recalculates based on today's date each time the report is opened.</w:t>
      </w:r>
    </w:p>
    <w:p w14:paraId="63E5F083" w14:textId="77777777" w:rsidR="0040359F" w:rsidRDefault="00000000">
      <w:pPr>
        <w:pStyle w:val="ListParagraph"/>
        <w:numPr>
          <w:ilvl w:val="0"/>
          <w:numId w:val="1"/>
        </w:numPr>
        <w:spacing w:after="60"/>
      </w:pPr>
      <w:r>
        <w:rPr>
          <w:b/>
          <w:bCs/>
        </w:rPr>
        <w:t>Include/Exclude</w:t>
      </w:r>
      <w:r>
        <w:t>: Right-click a data point on a visual to quickly include or exclude that value as a filter.</w:t>
      </w:r>
    </w:p>
    <w:p w14:paraId="0748CA61" w14:textId="77777777" w:rsidR="0040359F" w:rsidRDefault="00000000">
      <w:pPr>
        <w:pStyle w:val="Heading2"/>
      </w:pPr>
      <w:bookmarkStart w:id="21" w:name="_Toc236395459"/>
      <w:r>
        <w:lastRenderedPageBreak/>
        <w:t>4.3 Slicers</w:t>
      </w:r>
      <w:bookmarkEnd w:id="21"/>
    </w:p>
    <w:p w14:paraId="0E889739" w14:textId="77777777" w:rsidR="0040359F" w:rsidRDefault="00000000">
      <w:pPr>
        <w:spacing w:after="150"/>
      </w:pPr>
      <w:r>
        <w:t xml:space="preserve">A </w:t>
      </w:r>
      <w:r>
        <w:rPr>
          <w:b/>
          <w:bCs/>
        </w:rPr>
        <w:t>Slicer</w:t>
      </w:r>
      <w:r>
        <w:t xml:space="preserve"> is a visual, on-canvas control for filtering that end users interact with directly (unlike the Filters pane, which is often hidden from consumers in production reports).</w:t>
      </w:r>
    </w:p>
    <w:p w14:paraId="291E3116" w14:textId="77777777" w:rsidR="0040359F" w:rsidRDefault="00000000">
      <w:pPr>
        <w:pStyle w:val="Heading3"/>
      </w:pPr>
      <w:bookmarkStart w:id="22" w:name="_Toc236395460"/>
      <w:r>
        <w:t>Slicer types</w:t>
      </w:r>
      <w:bookmarkEnd w:id="22"/>
    </w:p>
    <w:p w14:paraId="064DE87F" w14:textId="77777777" w:rsidR="0040359F" w:rsidRDefault="00000000">
      <w:pPr>
        <w:spacing w:after="150"/>
      </w:pPr>
      <w:r>
        <w:t>List (single or multi-select), Dropdown, Between/Range (numeric or date, slider with two handles), Relative date, Relative time.</w:t>
      </w:r>
    </w:p>
    <w:p w14:paraId="75DCF8E5" w14:textId="77777777" w:rsidR="0040359F" w:rsidRDefault="00000000">
      <w:pPr>
        <w:pStyle w:val="Heading3"/>
      </w:pPr>
      <w:bookmarkStart w:id="23" w:name="_Toc236395461"/>
      <w:r>
        <w:t>Slicer configuration</w:t>
      </w:r>
      <w:bookmarkEnd w:id="23"/>
    </w:p>
    <w:p w14:paraId="39456234" w14:textId="77777777" w:rsidR="0040359F" w:rsidRDefault="00000000">
      <w:pPr>
        <w:pStyle w:val="ListParagraph"/>
        <w:numPr>
          <w:ilvl w:val="0"/>
          <w:numId w:val="1"/>
        </w:numPr>
        <w:spacing w:after="60"/>
      </w:pPr>
      <w:r>
        <w:rPr>
          <w:b/>
          <w:bCs/>
        </w:rPr>
        <w:t>Single-select vs. multi-select</w:t>
      </w:r>
      <w:r>
        <w:t>: Format pane → Selection.</w:t>
      </w:r>
    </w:p>
    <w:p w14:paraId="35D525DB" w14:textId="77777777" w:rsidR="0040359F" w:rsidRDefault="00000000">
      <w:pPr>
        <w:pStyle w:val="ListParagraph"/>
        <w:numPr>
          <w:ilvl w:val="0"/>
          <w:numId w:val="1"/>
        </w:numPr>
        <w:spacing w:after="60"/>
      </w:pPr>
      <w:r>
        <w:rPr>
          <w:b/>
          <w:bCs/>
        </w:rPr>
        <w:t>Show "Select All"</w:t>
      </w:r>
      <w:r>
        <w:t xml:space="preserve"> option; </w:t>
      </w:r>
      <w:r>
        <w:rPr>
          <w:b/>
          <w:bCs/>
        </w:rPr>
        <w:t>Search box</w:t>
      </w:r>
      <w:r>
        <w:t xml:space="preserve"> for long lists.</w:t>
      </w:r>
    </w:p>
    <w:p w14:paraId="4D1A088B" w14:textId="77777777" w:rsidR="0040359F" w:rsidRDefault="00000000">
      <w:pPr>
        <w:pStyle w:val="ListParagraph"/>
        <w:numPr>
          <w:ilvl w:val="0"/>
          <w:numId w:val="1"/>
        </w:numPr>
        <w:spacing w:after="60"/>
      </w:pPr>
      <w:r>
        <w:rPr>
          <w:b/>
          <w:bCs/>
        </w:rPr>
        <w:t>Sync slicers</w:t>
      </w:r>
      <w:r>
        <w:t>: The Sync Slicers pane (View ribbon) lets a slicer placed on one page filter other pages too, even if the slicer visual itself is hidden on those pages.</w:t>
      </w:r>
    </w:p>
    <w:p w14:paraId="7AC688FF" w14:textId="77777777" w:rsidR="0040359F" w:rsidRDefault="00000000">
      <w:pPr>
        <w:pStyle w:val="ListParagraph"/>
        <w:numPr>
          <w:ilvl w:val="0"/>
          <w:numId w:val="1"/>
        </w:numPr>
        <w:spacing w:after="60"/>
      </w:pPr>
      <w:r>
        <w:rPr>
          <w:b/>
          <w:bCs/>
        </w:rPr>
        <w:t>Slicer orientation</w:t>
      </w:r>
      <w:r>
        <w:t>: Vertical or horizontal (tile) layout.</w:t>
      </w:r>
    </w:p>
    <w:p w14:paraId="0A22AD3D" w14:textId="7EF6A80C" w:rsidR="00C819E4" w:rsidRDefault="00000000" w:rsidP="00C819E4">
      <w:pPr>
        <w:pStyle w:val="ListParagraph"/>
        <w:numPr>
          <w:ilvl w:val="0"/>
          <w:numId w:val="1"/>
        </w:numPr>
        <w:spacing w:after="60"/>
      </w:pPr>
      <w:r>
        <w:rPr>
          <w:b/>
          <w:bCs/>
        </w:rPr>
        <w:t>Clear filter button (eraser icon)</w:t>
      </w:r>
      <w:r>
        <w:t>: Can be shown/hidden.</w:t>
      </w:r>
    </w:p>
    <w:p w14:paraId="03F273DD" w14:textId="77777777" w:rsidR="0040359F" w:rsidRDefault="00000000">
      <w:pPr>
        <w:pStyle w:val="Heading2"/>
      </w:pPr>
      <w:bookmarkStart w:id="24" w:name="_Toc236395462"/>
      <w:r>
        <w:t>4.4 Filter Interactions and "Edit Interactions"</w:t>
      </w:r>
      <w:bookmarkEnd w:id="24"/>
    </w:p>
    <w:p w14:paraId="07539731" w14:textId="77777777" w:rsidR="0040359F" w:rsidRDefault="00000000">
      <w:pPr>
        <w:spacing w:after="150"/>
      </w:pPr>
      <w:r>
        <w:t xml:space="preserve">By default, clicking a data point in one visual filters other visuals on the page. This is adjusted per-visual pair via </w:t>
      </w:r>
      <w:r>
        <w:rPr>
          <w:b/>
          <w:bCs/>
        </w:rPr>
        <w:t>Format ribbon → Edit interactions</w:t>
      </w:r>
      <w:r>
        <w:t>, offering three modes for a target visual:</w:t>
      </w:r>
    </w:p>
    <w:p w14:paraId="2CDBE53B" w14:textId="77777777" w:rsidR="0040359F" w:rsidRDefault="00000000">
      <w:pPr>
        <w:pStyle w:val="ListParagraph"/>
        <w:numPr>
          <w:ilvl w:val="0"/>
          <w:numId w:val="1"/>
        </w:numPr>
        <w:spacing w:after="60"/>
      </w:pPr>
      <w:r>
        <w:rPr>
          <w:b/>
          <w:bCs/>
        </w:rPr>
        <w:t>Filter</w:t>
      </w:r>
      <w:r>
        <w:t xml:space="preserve"> (funnel icon): Filters the target to matching rows.</w:t>
      </w:r>
    </w:p>
    <w:p w14:paraId="0AF5C547" w14:textId="77777777" w:rsidR="0040359F" w:rsidRDefault="00000000">
      <w:pPr>
        <w:pStyle w:val="ListParagraph"/>
        <w:numPr>
          <w:ilvl w:val="0"/>
          <w:numId w:val="1"/>
        </w:numPr>
        <w:spacing w:after="60"/>
      </w:pPr>
      <w:r>
        <w:rPr>
          <w:b/>
          <w:bCs/>
        </w:rPr>
        <w:t>Highlight</w:t>
      </w:r>
      <w:r>
        <w:t xml:space="preserve"> (highlighter icon, chart visuals only): Highlights the matching subset within the target visual while still showing the full context.</w:t>
      </w:r>
    </w:p>
    <w:p w14:paraId="119DFB27" w14:textId="77777777" w:rsidR="0040359F" w:rsidRDefault="00000000">
      <w:pPr>
        <w:pStyle w:val="ListParagraph"/>
        <w:numPr>
          <w:ilvl w:val="0"/>
          <w:numId w:val="1"/>
        </w:numPr>
        <w:spacing w:after="60"/>
      </w:pPr>
      <w:r>
        <w:rPr>
          <w:b/>
          <w:bCs/>
        </w:rPr>
        <w:t>None</w:t>
      </w:r>
      <w:r>
        <w:t>: No interaction.</w:t>
      </w:r>
    </w:p>
    <w:p w14:paraId="74B8D025" w14:textId="77777777" w:rsidR="0040359F" w:rsidRDefault="00000000">
      <w:pPr>
        <w:spacing w:after="150"/>
      </w:pPr>
      <w:r>
        <w:rPr>
          <w:b/>
          <w:bCs/>
        </w:rPr>
        <w:t>Case study</w:t>
      </w:r>
      <w:r>
        <w:t>: A dashboard where clicking a region in a map should filter a table but should NOT affect a separate "company-wide KPI" card — select the map, go to Edit Interactions, and set the KPI card's interaction to "None."</w:t>
      </w:r>
    </w:p>
    <w:p w14:paraId="7116187E" w14:textId="77777777" w:rsidR="0040359F" w:rsidRDefault="00000000">
      <w:pPr>
        <w:pStyle w:val="Heading2"/>
      </w:pPr>
      <w:bookmarkStart w:id="25" w:name="_Toc236395463"/>
      <w:r>
        <w:t>4.5 Slicers vs. Filters Pane — Exam Distinction</w:t>
      </w:r>
      <w:bookmarkEnd w:id="25"/>
    </w:p>
    <w:p w14:paraId="77B6A01E" w14:textId="77777777" w:rsidR="0040359F" w:rsidRDefault="00000000">
      <w:pPr>
        <w:spacing w:after="150"/>
      </w:pPr>
      <w:r>
        <w:t>Slicers are visible, end-user-facing, and consume canvas space; they participate in cross-filtering with other slicers/visuals. The Filters pane is typically used by report authors to lock in fixed business logic and can be hidden from readers. Bookmarks (Part 5) can capture slicer states, but capturing Filters-pane state requires including "Data" in the bookmark capture.</w:t>
      </w:r>
    </w:p>
    <w:p w14:paraId="566099F0" w14:textId="77777777" w:rsidR="00C819E4" w:rsidRDefault="00C819E4">
      <w:pPr>
        <w:spacing w:after="150"/>
      </w:pPr>
    </w:p>
    <w:p w14:paraId="04A3479B" w14:textId="77777777" w:rsidR="00C819E4" w:rsidRDefault="00C819E4">
      <w:pPr>
        <w:spacing w:after="150"/>
      </w:pPr>
    </w:p>
    <w:p w14:paraId="71C54177" w14:textId="77777777" w:rsidR="00C819E4" w:rsidRDefault="00C819E4">
      <w:pPr>
        <w:spacing w:after="150"/>
      </w:pPr>
    </w:p>
    <w:p w14:paraId="6C1AD2F2" w14:textId="77777777" w:rsidR="00C819E4" w:rsidRDefault="00C819E4">
      <w:pPr>
        <w:spacing w:after="150"/>
      </w:pPr>
    </w:p>
    <w:p w14:paraId="0A7D7331" w14:textId="77777777" w:rsidR="00C819E4" w:rsidRDefault="00C819E4">
      <w:pPr>
        <w:spacing w:after="150"/>
      </w:pPr>
    </w:p>
    <w:p w14:paraId="5E987B95" w14:textId="77777777" w:rsidR="00C819E4" w:rsidRDefault="00C819E4">
      <w:pPr>
        <w:spacing w:after="150"/>
      </w:pPr>
    </w:p>
    <w:p w14:paraId="33651C74" w14:textId="77777777" w:rsidR="00C819E4" w:rsidRDefault="00C819E4">
      <w:pPr>
        <w:spacing w:after="150"/>
      </w:pPr>
    </w:p>
    <w:p w14:paraId="14C736BD" w14:textId="77777777" w:rsidR="00C819E4" w:rsidRDefault="00C819E4">
      <w:pPr>
        <w:spacing w:after="150"/>
      </w:pPr>
    </w:p>
    <w:p w14:paraId="41997FC9" w14:textId="77777777" w:rsidR="00C819E4" w:rsidRDefault="00C819E4">
      <w:pPr>
        <w:spacing w:after="150"/>
      </w:pPr>
    </w:p>
    <w:p w14:paraId="342992F7" w14:textId="77777777" w:rsidR="0040359F" w:rsidRDefault="00000000">
      <w:pPr>
        <w:pStyle w:val="Heading1"/>
      </w:pPr>
      <w:bookmarkStart w:id="26" w:name="_Toc236395464"/>
      <w:r>
        <w:lastRenderedPageBreak/>
        <w:t>Part 5: Sort, Small Multiples, Bookmarks, and the Selection Pane</w:t>
      </w:r>
      <w:bookmarkEnd w:id="26"/>
    </w:p>
    <w:p w14:paraId="39F7CF25" w14:textId="77777777" w:rsidR="0040359F" w:rsidRDefault="00000000">
      <w:pPr>
        <w:pStyle w:val="Heading2"/>
      </w:pPr>
      <w:bookmarkStart w:id="27" w:name="_Toc236395465"/>
      <w:r>
        <w:t>5.1 Sorting Visuals</w:t>
      </w:r>
      <w:bookmarkEnd w:id="27"/>
    </w:p>
    <w:p w14:paraId="72D287DE" w14:textId="77777777" w:rsidR="0040359F" w:rsidRDefault="00000000">
      <w:pPr>
        <w:spacing w:after="150"/>
      </w:pPr>
      <w:r>
        <w:t xml:space="preserve">Most visuals expose a </w:t>
      </w:r>
      <w:r>
        <w:rPr>
          <w:b/>
          <w:bCs/>
        </w:rPr>
        <w:t>sort control</w:t>
      </w:r>
      <w:r>
        <w:t xml:space="preserve"> via the "..." (More options) menu: choose the field to sort by and toggle ascending/descending. For axis-based charts, this appears as "Sort axis." Tables/matrices support click-to-sort directly on column headers. You can also sort a column </w:t>
      </w:r>
      <w:r>
        <w:rPr>
          <w:b/>
          <w:bCs/>
        </w:rPr>
        <w:t>by another column</w:t>
      </w:r>
      <w:r>
        <w:t xml:space="preserve"> (e.g., sort Month Name by Month Number) via </w:t>
      </w:r>
      <w:proofErr w:type="spellStart"/>
      <w:r>
        <w:t>Modeling</w:t>
      </w:r>
      <w:proofErr w:type="spellEnd"/>
      <w:r>
        <w:t xml:space="preserve"> ribbon → Sort by Column — a common exam item, since without this a text month field would sort alphabetically (April before January) instead of chronologically.</w:t>
      </w:r>
    </w:p>
    <w:p w14:paraId="11B35027" w14:textId="77777777" w:rsidR="0040359F" w:rsidRDefault="00000000">
      <w:pPr>
        <w:pStyle w:val="Heading2"/>
      </w:pPr>
      <w:bookmarkStart w:id="28" w:name="_Toc236395466"/>
      <w:r>
        <w:t>5.2 Small Multiples</w:t>
      </w:r>
      <w:bookmarkEnd w:id="28"/>
    </w:p>
    <w:p w14:paraId="2716AF6D" w14:textId="77777777" w:rsidR="0040359F" w:rsidRDefault="00000000">
      <w:pPr>
        <w:spacing w:after="150"/>
      </w:pPr>
      <w:r>
        <w:rPr>
          <w:b/>
          <w:bCs/>
        </w:rPr>
        <w:t>Small multiples</w:t>
      </w:r>
      <w:r>
        <w:t xml:space="preserve"> splits a single visual (bar, column, line, combo) into a grid of small trellis charts, one per category of a chosen field, all sharing the same axes/scale — instead of using a Legend or filtering to create separate visuals manually.</w:t>
      </w:r>
    </w:p>
    <w:p w14:paraId="2C54B879" w14:textId="77777777" w:rsidR="0040359F" w:rsidRDefault="00000000">
      <w:pPr>
        <w:pStyle w:val="Heading3"/>
      </w:pPr>
      <w:bookmarkStart w:id="29" w:name="_Toc236395467"/>
      <w:r>
        <w:t>Configuration</w:t>
      </w:r>
      <w:bookmarkEnd w:id="29"/>
    </w:p>
    <w:p w14:paraId="4935C58F" w14:textId="77777777" w:rsidR="0040359F" w:rsidRDefault="00000000">
      <w:pPr>
        <w:spacing w:after="150"/>
      </w:pPr>
      <w:r>
        <w:t xml:space="preserve">Drag a field into the </w:t>
      </w:r>
      <w:r>
        <w:rPr>
          <w:b/>
          <w:bCs/>
        </w:rPr>
        <w:t>Small multiples</w:t>
      </w:r>
      <w:r>
        <w:t xml:space="preserve"> well. Format pane → Small multiples: control grid layout (rows x columns), spacing, and whether each tile shows its own title. Independent vs. shared axis ranges can be toggled.</w:t>
      </w:r>
    </w:p>
    <w:p w14:paraId="2EE8E35B" w14:textId="77777777" w:rsidR="0040359F" w:rsidRDefault="00000000">
      <w:pPr>
        <w:spacing w:after="150"/>
      </w:pPr>
      <w:r>
        <w:rPr>
          <w:b/>
          <w:bCs/>
        </w:rPr>
        <w:t>Case study</w:t>
      </w:r>
      <w:r>
        <w:t>: Instead of one cluttered line chart with 10 overlapping product lines, use small multiples with Product in the Small multiples well to get 10 clean mini line charts in a grid, each showing the trend for one product — a very common "which feature solves this" scenario question.</w:t>
      </w:r>
    </w:p>
    <w:p w14:paraId="3766DCD2" w14:textId="77777777" w:rsidR="0040359F" w:rsidRDefault="00000000">
      <w:pPr>
        <w:pStyle w:val="Heading2"/>
      </w:pPr>
      <w:bookmarkStart w:id="30" w:name="_Toc236395468"/>
      <w:r>
        <w:t>5.3 Bookmarks</w:t>
      </w:r>
      <w:bookmarkEnd w:id="30"/>
    </w:p>
    <w:p w14:paraId="00323810" w14:textId="77777777" w:rsidR="0040359F" w:rsidRDefault="00000000">
      <w:pPr>
        <w:spacing w:after="150"/>
      </w:pPr>
      <w:r>
        <w:t xml:space="preserve">A </w:t>
      </w:r>
      <w:r>
        <w:rPr>
          <w:b/>
          <w:bCs/>
        </w:rPr>
        <w:t>Bookmark</w:t>
      </w:r>
      <w:r>
        <w:t xml:space="preserve"> captures the current state of a report page — filter/slicer selections, visual visibility (via the Selection pane), sort order, drill state, and even the currently active page — so it can be recalled later with one click.</w:t>
      </w:r>
    </w:p>
    <w:p w14:paraId="219D7423" w14:textId="77777777" w:rsidR="0040359F" w:rsidRDefault="00000000">
      <w:pPr>
        <w:pStyle w:val="Heading3"/>
      </w:pPr>
      <w:bookmarkStart w:id="31" w:name="_Toc236395469"/>
      <w:r>
        <w:t>Creating and managing bookmarks</w:t>
      </w:r>
      <w:bookmarkEnd w:id="31"/>
    </w:p>
    <w:p w14:paraId="307D30A5" w14:textId="77777777" w:rsidR="0040359F" w:rsidRDefault="00000000">
      <w:pPr>
        <w:spacing w:after="150"/>
      </w:pPr>
      <w:r>
        <w:t xml:space="preserve">View ribbon → Bookmarks pane → "Add" captures current state. Each bookmark's options menu controls what's captured/restored: </w:t>
      </w:r>
      <w:r>
        <w:rPr>
          <w:b/>
          <w:bCs/>
        </w:rPr>
        <w:t>Data</w:t>
      </w:r>
      <w:r>
        <w:t xml:space="preserve"> (filters/slicers/sort), </w:t>
      </w:r>
      <w:r>
        <w:rPr>
          <w:b/>
          <w:bCs/>
        </w:rPr>
        <w:t>Display</w:t>
      </w:r>
      <w:r>
        <w:t xml:space="preserve"> (visibility, spotlight), and </w:t>
      </w:r>
      <w:r>
        <w:rPr>
          <w:b/>
          <w:bCs/>
        </w:rPr>
        <w:t>Current page</w:t>
      </w:r>
      <w:r>
        <w:t xml:space="preserve">. </w:t>
      </w:r>
      <w:r>
        <w:rPr>
          <w:b/>
          <w:bCs/>
        </w:rPr>
        <w:t>"Update"</w:t>
      </w:r>
      <w:r>
        <w:t xml:space="preserve"> re-captures a bookmark's state after changes.</w:t>
      </w:r>
    </w:p>
    <w:p w14:paraId="4DBFE835" w14:textId="77777777" w:rsidR="0040359F" w:rsidRDefault="00000000">
      <w:pPr>
        <w:pStyle w:val="Heading3"/>
      </w:pPr>
      <w:bookmarkStart w:id="32" w:name="_Toc236395470"/>
      <w:r>
        <w:t>Bookmark actions</w:t>
      </w:r>
      <w:bookmarkEnd w:id="32"/>
    </w:p>
    <w:p w14:paraId="563C10EB" w14:textId="77777777" w:rsidR="0040359F" w:rsidRDefault="00000000">
      <w:pPr>
        <w:spacing w:after="150"/>
      </w:pPr>
      <w:r>
        <w:t xml:space="preserve">Triggered by clicking the bookmark in the pane, or assigning a bookmark to a </w:t>
      </w:r>
      <w:r>
        <w:rPr>
          <w:b/>
          <w:bCs/>
        </w:rPr>
        <w:t>Button</w:t>
      </w:r>
      <w:r>
        <w:t>'s "Action" (type = Bookmark), or an Image/shape Action.</w:t>
      </w:r>
    </w:p>
    <w:p w14:paraId="5961F524" w14:textId="77777777" w:rsidR="0040359F" w:rsidRDefault="00000000">
      <w:pPr>
        <w:pStyle w:val="Heading3"/>
      </w:pPr>
      <w:bookmarkStart w:id="33" w:name="_Toc236395471"/>
      <w:r>
        <w:t>Use cases</w:t>
      </w:r>
      <w:bookmarkEnd w:id="33"/>
    </w:p>
    <w:p w14:paraId="1E0643E4" w14:textId="77777777" w:rsidR="0040359F" w:rsidRDefault="00000000">
      <w:pPr>
        <w:pStyle w:val="ListParagraph"/>
        <w:numPr>
          <w:ilvl w:val="0"/>
          <w:numId w:val="1"/>
        </w:numPr>
        <w:spacing w:after="60"/>
      </w:pPr>
      <w:r>
        <w:rPr>
          <w:b/>
          <w:bCs/>
        </w:rPr>
        <w:t>Guided storytelling / navigation</w:t>
      </w:r>
      <w:r>
        <w:t>: A "Play" button that cycles through bookmarks like a slideshow.</w:t>
      </w:r>
    </w:p>
    <w:p w14:paraId="71674530" w14:textId="77777777" w:rsidR="0040359F" w:rsidRDefault="00000000">
      <w:pPr>
        <w:pStyle w:val="ListParagraph"/>
        <w:numPr>
          <w:ilvl w:val="0"/>
          <w:numId w:val="1"/>
        </w:numPr>
        <w:spacing w:after="60"/>
      </w:pPr>
      <w:r>
        <w:rPr>
          <w:b/>
          <w:bCs/>
        </w:rPr>
        <w:t>Toggle visuals on/off</w:t>
      </w:r>
      <w:r>
        <w:t>: Combined with the Selection pane, two bookmarks can show/hide different chart types occupying the same canvas space.</w:t>
      </w:r>
    </w:p>
    <w:p w14:paraId="58515D76" w14:textId="3F7CC7B0" w:rsidR="00C819E4" w:rsidRDefault="00000000" w:rsidP="00C819E4">
      <w:pPr>
        <w:pStyle w:val="ListParagraph"/>
        <w:numPr>
          <w:ilvl w:val="0"/>
          <w:numId w:val="1"/>
        </w:numPr>
        <w:spacing w:after="60"/>
      </w:pPr>
      <w:r>
        <w:rPr>
          <w:b/>
          <w:bCs/>
        </w:rPr>
        <w:t>Reset filters button</w:t>
      </w:r>
      <w:r>
        <w:t>: A bookmark capturing the default/unfiltered state, triggered by a "Reset" button.</w:t>
      </w:r>
    </w:p>
    <w:p w14:paraId="7120AA3C" w14:textId="77777777" w:rsidR="00C819E4" w:rsidRDefault="00C819E4" w:rsidP="00C819E4">
      <w:pPr>
        <w:spacing w:after="60"/>
      </w:pPr>
    </w:p>
    <w:p w14:paraId="14760369" w14:textId="77777777" w:rsidR="00C819E4" w:rsidRDefault="00C819E4" w:rsidP="00C819E4">
      <w:pPr>
        <w:spacing w:after="60"/>
      </w:pPr>
    </w:p>
    <w:p w14:paraId="542FDDE3" w14:textId="77777777" w:rsidR="00C819E4" w:rsidRDefault="00C819E4" w:rsidP="00C819E4">
      <w:pPr>
        <w:spacing w:after="60"/>
      </w:pPr>
    </w:p>
    <w:p w14:paraId="2FB9AE16" w14:textId="77777777" w:rsidR="0040359F" w:rsidRDefault="00000000">
      <w:pPr>
        <w:pStyle w:val="Heading2"/>
      </w:pPr>
      <w:bookmarkStart w:id="34" w:name="_Toc236395472"/>
      <w:r>
        <w:lastRenderedPageBreak/>
        <w:t>5.4 The Selection Pane</w:t>
      </w:r>
      <w:bookmarkEnd w:id="34"/>
    </w:p>
    <w:p w14:paraId="015860DB" w14:textId="77777777" w:rsidR="0040359F" w:rsidRDefault="00000000">
      <w:pPr>
        <w:spacing w:after="150"/>
      </w:pPr>
      <w:r>
        <w:t xml:space="preserve">View ribbon → </w:t>
      </w:r>
      <w:r>
        <w:rPr>
          <w:b/>
          <w:bCs/>
        </w:rPr>
        <w:t>Selection</w:t>
      </w:r>
      <w:r>
        <w:t xml:space="preserve"> pane lists every visual/object on the current page and lets you toggle visibility (eye icon) of individual visuals, rename objects, and reorder z-index (layering) of overlapping objects.</w:t>
      </w:r>
    </w:p>
    <w:p w14:paraId="36886363" w14:textId="77777777" w:rsidR="0040359F" w:rsidRDefault="00000000">
      <w:pPr>
        <w:spacing w:after="150"/>
      </w:pPr>
      <w:r>
        <w:rPr>
          <w:b/>
          <w:bCs/>
        </w:rPr>
        <w:t>Case study — combining 5.3 and 5.4</w:t>
      </w:r>
      <w:r>
        <w:t>: Build two overlapping visuals (a bar chart and a table) in the exact same position. Use the Selection pane to hide the table and show the bar chart, capture that as "Bookmark A." Swap visibility and capture "Bookmark B." Assign two buttons ("Chart View" / "Table View") to trigger each bookmark — a frequent hands-on exam-style task.</w:t>
      </w:r>
    </w:p>
    <w:p w14:paraId="3F9E0456" w14:textId="77777777" w:rsidR="00C819E4" w:rsidRDefault="00C819E4">
      <w:pPr>
        <w:spacing w:after="150"/>
      </w:pPr>
    </w:p>
    <w:p w14:paraId="0A127D58" w14:textId="77777777" w:rsidR="00C819E4" w:rsidRDefault="00C819E4">
      <w:pPr>
        <w:spacing w:after="150"/>
      </w:pPr>
    </w:p>
    <w:p w14:paraId="239ACA9B" w14:textId="77777777" w:rsidR="00C819E4" w:rsidRDefault="00C819E4">
      <w:pPr>
        <w:spacing w:after="150"/>
      </w:pPr>
    </w:p>
    <w:p w14:paraId="3556FF0F" w14:textId="77777777" w:rsidR="00C819E4" w:rsidRDefault="00C819E4">
      <w:pPr>
        <w:spacing w:after="150"/>
      </w:pPr>
    </w:p>
    <w:p w14:paraId="750A7F0E" w14:textId="77777777" w:rsidR="00C819E4" w:rsidRDefault="00C819E4">
      <w:pPr>
        <w:spacing w:after="150"/>
      </w:pPr>
    </w:p>
    <w:p w14:paraId="11146E2F" w14:textId="77777777" w:rsidR="00C819E4" w:rsidRDefault="00C819E4">
      <w:pPr>
        <w:spacing w:after="150"/>
      </w:pPr>
    </w:p>
    <w:p w14:paraId="72B654E1" w14:textId="77777777" w:rsidR="00C819E4" w:rsidRDefault="00C819E4">
      <w:pPr>
        <w:spacing w:after="150"/>
      </w:pPr>
    </w:p>
    <w:p w14:paraId="41FB4FAF" w14:textId="77777777" w:rsidR="00C819E4" w:rsidRDefault="00C819E4">
      <w:pPr>
        <w:spacing w:after="150"/>
      </w:pPr>
    </w:p>
    <w:p w14:paraId="60EC5434" w14:textId="77777777" w:rsidR="00C819E4" w:rsidRDefault="00C819E4">
      <w:pPr>
        <w:spacing w:after="150"/>
      </w:pPr>
    </w:p>
    <w:p w14:paraId="29599ECA" w14:textId="77777777" w:rsidR="0040359F" w:rsidRDefault="00000000">
      <w:pPr>
        <w:pStyle w:val="Heading1"/>
      </w:pPr>
      <w:bookmarkStart w:id="35" w:name="_Toc236395473"/>
      <w:r>
        <w:t xml:space="preserve">Part 6: </w:t>
      </w:r>
      <w:proofErr w:type="spellStart"/>
      <w:r>
        <w:t>Drillthrough</w:t>
      </w:r>
      <w:proofErr w:type="spellEnd"/>
      <w:r>
        <w:t>, Buttons, and Tooltip Pages</w:t>
      </w:r>
      <w:bookmarkEnd w:id="35"/>
    </w:p>
    <w:p w14:paraId="6E2D77CF" w14:textId="77777777" w:rsidR="0040359F" w:rsidRDefault="00000000">
      <w:pPr>
        <w:pStyle w:val="Heading2"/>
      </w:pPr>
      <w:bookmarkStart w:id="36" w:name="_Toc236395474"/>
      <w:r>
        <w:t xml:space="preserve">6.1 </w:t>
      </w:r>
      <w:proofErr w:type="spellStart"/>
      <w:r>
        <w:t>Drillthrough</w:t>
      </w:r>
      <w:bookmarkEnd w:id="36"/>
      <w:proofErr w:type="spellEnd"/>
    </w:p>
    <w:p w14:paraId="615A2487" w14:textId="77777777" w:rsidR="0040359F" w:rsidRDefault="00000000">
      <w:pPr>
        <w:spacing w:after="150"/>
      </w:pPr>
      <w:proofErr w:type="spellStart"/>
      <w:r>
        <w:rPr>
          <w:b/>
          <w:bCs/>
        </w:rPr>
        <w:t>Drillthrough</w:t>
      </w:r>
      <w:proofErr w:type="spellEnd"/>
      <w:r>
        <w:t xml:space="preserve"> lets a user right-click a data point on a visual and jump to a separate, detail-focused report page that is automatically filtered to that data point's context.</w:t>
      </w:r>
    </w:p>
    <w:p w14:paraId="5A383146" w14:textId="77777777" w:rsidR="0040359F" w:rsidRDefault="00000000">
      <w:pPr>
        <w:pStyle w:val="Heading3"/>
      </w:pPr>
      <w:bookmarkStart w:id="37" w:name="_Toc236395475"/>
      <w:r>
        <w:t xml:space="preserve">Setting up a </w:t>
      </w:r>
      <w:proofErr w:type="spellStart"/>
      <w:r>
        <w:t>drillthrough</w:t>
      </w:r>
      <w:proofErr w:type="spellEnd"/>
      <w:r>
        <w:t xml:space="preserve"> page</w:t>
      </w:r>
      <w:bookmarkEnd w:id="37"/>
    </w:p>
    <w:p w14:paraId="38C7294A" w14:textId="77777777" w:rsidR="0040359F" w:rsidRDefault="00000000">
      <w:pPr>
        <w:pStyle w:val="ListParagraph"/>
        <w:numPr>
          <w:ilvl w:val="0"/>
          <w:numId w:val="2"/>
        </w:numPr>
        <w:spacing w:after="60"/>
      </w:pPr>
      <w:r>
        <w:t xml:space="preserve">Create a new report page intended as the </w:t>
      </w:r>
      <w:proofErr w:type="spellStart"/>
      <w:r>
        <w:t>drillthrough</w:t>
      </w:r>
      <w:proofErr w:type="spellEnd"/>
      <w:r>
        <w:t xml:space="preserve"> target.</w:t>
      </w:r>
    </w:p>
    <w:p w14:paraId="4B87D413" w14:textId="77777777" w:rsidR="0040359F" w:rsidRDefault="00000000">
      <w:pPr>
        <w:pStyle w:val="ListParagraph"/>
        <w:numPr>
          <w:ilvl w:val="0"/>
          <w:numId w:val="2"/>
        </w:numPr>
        <w:spacing w:after="60"/>
      </w:pPr>
      <w:r>
        <w:t xml:space="preserve">Select an empty area of that page's canvas; in the Format pane, find the </w:t>
      </w:r>
      <w:proofErr w:type="spellStart"/>
      <w:r>
        <w:rPr>
          <w:b/>
          <w:bCs/>
        </w:rPr>
        <w:t>Drillthrough</w:t>
      </w:r>
      <w:proofErr w:type="spellEnd"/>
      <w:r>
        <w:t xml:space="preserve"> section and drag a field into the </w:t>
      </w:r>
      <w:r>
        <w:rPr>
          <w:b/>
          <w:bCs/>
        </w:rPr>
        <w:t xml:space="preserve">"Add </w:t>
      </w:r>
      <w:proofErr w:type="spellStart"/>
      <w:r>
        <w:rPr>
          <w:b/>
          <w:bCs/>
        </w:rPr>
        <w:t>drillthrough</w:t>
      </w:r>
      <w:proofErr w:type="spellEnd"/>
      <w:r>
        <w:rPr>
          <w:b/>
          <w:bCs/>
        </w:rPr>
        <w:t xml:space="preserve"> fields here"</w:t>
      </w:r>
      <w:r>
        <w:t xml:space="preserve"> well (e.g., Product Name).</w:t>
      </w:r>
    </w:p>
    <w:p w14:paraId="34DFAEBA" w14:textId="77777777" w:rsidR="0040359F" w:rsidRDefault="00000000">
      <w:pPr>
        <w:pStyle w:val="ListParagraph"/>
        <w:numPr>
          <w:ilvl w:val="0"/>
          <w:numId w:val="2"/>
        </w:numPr>
        <w:spacing w:after="60"/>
      </w:pPr>
      <w:r>
        <w:t xml:space="preserve">Power BI automatically adds a </w:t>
      </w:r>
      <w:r>
        <w:rPr>
          <w:b/>
          <w:bCs/>
        </w:rPr>
        <w:t>filter card</w:t>
      </w:r>
      <w:r>
        <w:t xml:space="preserve"> for that field and a </w:t>
      </w:r>
      <w:r>
        <w:rPr>
          <w:b/>
          <w:bCs/>
        </w:rPr>
        <w:t>back button</w:t>
      </w:r>
      <w:r>
        <w:t xml:space="preserve"> to the </w:t>
      </w:r>
      <w:proofErr w:type="spellStart"/>
      <w:r>
        <w:t>drillthrough</w:t>
      </w:r>
      <w:proofErr w:type="spellEnd"/>
      <w:r>
        <w:t xml:space="preserve"> page.</w:t>
      </w:r>
    </w:p>
    <w:p w14:paraId="043ED68A" w14:textId="77777777" w:rsidR="0040359F" w:rsidRDefault="00000000">
      <w:pPr>
        <w:pStyle w:val="ListParagraph"/>
        <w:numPr>
          <w:ilvl w:val="0"/>
          <w:numId w:val="2"/>
        </w:numPr>
        <w:spacing w:after="60"/>
      </w:pPr>
      <w:r>
        <w:t xml:space="preserve">On any other report page, right-clicking a data point that includes that field shows a </w:t>
      </w:r>
      <w:proofErr w:type="spellStart"/>
      <w:r>
        <w:rPr>
          <w:b/>
          <w:bCs/>
        </w:rPr>
        <w:t>Drillthrough</w:t>
      </w:r>
      <w:proofErr w:type="spellEnd"/>
      <w:r>
        <w:t xml:space="preserve"> context menu option leading to the target page, carrying the filter context along.</w:t>
      </w:r>
    </w:p>
    <w:p w14:paraId="79B90BC0" w14:textId="77777777" w:rsidR="0040359F" w:rsidRDefault="00000000">
      <w:pPr>
        <w:pStyle w:val="Heading3"/>
      </w:pPr>
      <w:bookmarkStart w:id="38" w:name="_Toc236395476"/>
      <w:r>
        <w:t>Key properties</w:t>
      </w:r>
      <w:bookmarkEnd w:id="38"/>
    </w:p>
    <w:p w14:paraId="4B04B79D" w14:textId="77777777" w:rsidR="0040359F" w:rsidRDefault="00000000">
      <w:pPr>
        <w:pStyle w:val="ListParagraph"/>
        <w:numPr>
          <w:ilvl w:val="0"/>
          <w:numId w:val="1"/>
        </w:numPr>
        <w:spacing w:after="60"/>
      </w:pPr>
      <w:r>
        <w:rPr>
          <w:b/>
          <w:bCs/>
        </w:rPr>
        <w:t>Keep all filters</w:t>
      </w:r>
      <w:r>
        <w:t xml:space="preserve"> toggle: When on, all filters active on the source page are also passed to the </w:t>
      </w:r>
      <w:proofErr w:type="spellStart"/>
      <w:r>
        <w:t>drillthrough</w:t>
      </w:r>
      <w:proofErr w:type="spellEnd"/>
      <w:r>
        <w:t xml:space="preserve"> page; when off, only the specific </w:t>
      </w:r>
      <w:proofErr w:type="spellStart"/>
      <w:r>
        <w:t>drillthrough</w:t>
      </w:r>
      <w:proofErr w:type="spellEnd"/>
      <w:r>
        <w:t xml:space="preserve"> field's value is passed.</w:t>
      </w:r>
    </w:p>
    <w:p w14:paraId="0F04ED69" w14:textId="77777777" w:rsidR="0040359F" w:rsidRDefault="00000000">
      <w:pPr>
        <w:pStyle w:val="ListParagraph"/>
        <w:numPr>
          <w:ilvl w:val="0"/>
          <w:numId w:val="1"/>
        </w:numPr>
        <w:spacing w:after="60"/>
      </w:pPr>
      <w:proofErr w:type="spellStart"/>
      <w:r>
        <w:t>Drillthrough</w:t>
      </w:r>
      <w:proofErr w:type="spellEnd"/>
      <w:r>
        <w:t xml:space="preserve"> can use one or more fields as filter context, and multiple pages can be configured as </w:t>
      </w:r>
      <w:proofErr w:type="spellStart"/>
      <w:r>
        <w:t>drillthrough</w:t>
      </w:r>
      <w:proofErr w:type="spellEnd"/>
      <w:r>
        <w:t xml:space="preserve"> targets for different fields.</w:t>
      </w:r>
    </w:p>
    <w:p w14:paraId="4B1493C9" w14:textId="77777777" w:rsidR="0040359F" w:rsidRDefault="00000000">
      <w:pPr>
        <w:pStyle w:val="ListParagraph"/>
        <w:numPr>
          <w:ilvl w:val="0"/>
          <w:numId w:val="1"/>
        </w:numPr>
        <w:spacing w:after="60"/>
      </w:pPr>
      <w:r>
        <w:t xml:space="preserve">The auto-generated </w:t>
      </w:r>
      <w:r>
        <w:rPr>
          <w:b/>
          <w:bCs/>
        </w:rPr>
        <w:t>back button</w:t>
      </w:r>
      <w:r>
        <w:t xml:space="preserve"> can be styled or replaced with a custom button whose Action type is "Back."</w:t>
      </w:r>
    </w:p>
    <w:p w14:paraId="6F765A29" w14:textId="77777777" w:rsidR="0040359F" w:rsidRDefault="00000000">
      <w:pPr>
        <w:spacing w:after="150"/>
      </w:pPr>
      <w:r>
        <w:rPr>
          <w:b/>
          <w:bCs/>
        </w:rPr>
        <w:t>Case study</w:t>
      </w:r>
      <w:r>
        <w:t>: A "Sales Overview" page shows Sales by Region. Right-clicking a specific region drills through to a "Region Detail" page pre-filtered to that region, showing granular tables and top products for that region only.</w:t>
      </w:r>
    </w:p>
    <w:p w14:paraId="2A6DD66D" w14:textId="77777777" w:rsidR="0040359F" w:rsidRDefault="00000000">
      <w:pPr>
        <w:pStyle w:val="Heading2"/>
      </w:pPr>
      <w:bookmarkStart w:id="39" w:name="_Toc236395477"/>
      <w:r>
        <w:lastRenderedPageBreak/>
        <w:t>6.2 Buttons</w:t>
      </w:r>
      <w:bookmarkEnd w:id="39"/>
    </w:p>
    <w:p w14:paraId="52C7CD11" w14:textId="77777777" w:rsidR="0040359F" w:rsidRDefault="00000000">
      <w:pPr>
        <w:spacing w:after="150"/>
      </w:pPr>
      <w:r>
        <w:t xml:space="preserve">Power BI </w:t>
      </w:r>
      <w:r>
        <w:rPr>
          <w:b/>
          <w:bCs/>
        </w:rPr>
        <w:t>Button</w:t>
      </w:r>
      <w:r>
        <w:t xml:space="preserve"> visuals (Insert ribbon → Buttons) offer preset icon types (back, forward, home, bookmark, blank, question, info, reset, etc.) or custom text/icon buttons. Each button supports an </w:t>
      </w:r>
      <w:r>
        <w:rPr>
          <w:b/>
          <w:bCs/>
        </w:rPr>
        <w:t>Action</w:t>
      </w:r>
      <w:r>
        <w:t xml:space="preserve"> with types including:</w:t>
      </w:r>
    </w:p>
    <w:p w14:paraId="5612EB3A" w14:textId="77777777" w:rsidR="0040359F" w:rsidRDefault="00000000">
      <w:pPr>
        <w:pStyle w:val="ListParagraph"/>
        <w:numPr>
          <w:ilvl w:val="0"/>
          <w:numId w:val="1"/>
        </w:numPr>
        <w:spacing w:after="60"/>
      </w:pPr>
      <w:r>
        <w:rPr>
          <w:b/>
          <w:bCs/>
        </w:rPr>
        <w:t>Back</w:t>
      </w:r>
      <w:r>
        <w:t xml:space="preserve"> — returns to the previous page/state.</w:t>
      </w:r>
    </w:p>
    <w:p w14:paraId="2ED6F90C" w14:textId="77777777" w:rsidR="0040359F" w:rsidRDefault="00000000">
      <w:pPr>
        <w:pStyle w:val="ListParagraph"/>
        <w:numPr>
          <w:ilvl w:val="0"/>
          <w:numId w:val="1"/>
        </w:numPr>
        <w:spacing w:after="60"/>
      </w:pPr>
      <w:r>
        <w:rPr>
          <w:b/>
          <w:bCs/>
        </w:rPr>
        <w:t>Bookmark</w:t>
      </w:r>
      <w:r>
        <w:t xml:space="preserve"> — jumps to a specific bookmark.</w:t>
      </w:r>
    </w:p>
    <w:p w14:paraId="081D0732" w14:textId="77777777" w:rsidR="0040359F" w:rsidRDefault="00000000">
      <w:pPr>
        <w:pStyle w:val="ListParagraph"/>
        <w:numPr>
          <w:ilvl w:val="0"/>
          <w:numId w:val="1"/>
        </w:numPr>
        <w:spacing w:after="60"/>
      </w:pPr>
      <w:r>
        <w:rPr>
          <w:b/>
          <w:bCs/>
        </w:rPr>
        <w:t>Page navigation</w:t>
      </w:r>
      <w:r>
        <w:t xml:space="preserve"> — jumps to a specific report page.</w:t>
      </w:r>
    </w:p>
    <w:p w14:paraId="5CA9C7BA" w14:textId="77777777" w:rsidR="0040359F" w:rsidRDefault="00000000">
      <w:pPr>
        <w:pStyle w:val="ListParagraph"/>
        <w:numPr>
          <w:ilvl w:val="0"/>
          <w:numId w:val="1"/>
        </w:numPr>
        <w:spacing w:after="60"/>
      </w:pPr>
      <w:proofErr w:type="spellStart"/>
      <w:r>
        <w:rPr>
          <w:b/>
          <w:bCs/>
        </w:rPr>
        <w:t>Drillthrough</w:t>
      </w:r>
      <w:proofErr w:type="spellEnd"/>
      <w:r>
        <w:t xml:space="preserve"> — navigates to a </w:t>
      </w:r>
      <w:proofErr w:type="spellStart"/>
      <w:r>
        <w:t>drillthrough</w:t>
      </w:r>
      <w:proofErr w:type="spellEnd"/>
      <w:r>
        <w:t xml:space="preserve"> target with specified filter context.</w:t>
      </w:r>
    </w:p>
    <w:p w14:paraId="78601E1B" w14:textId="77777777" w:rsidR="0040359F" w:rsidRDefault="00000000">
      <w:pPr>
        <w:pStyle w:val="ListParagraph"/>
        <w:numPr>
          <w:ilvl w:val="0"/>
          <w:numId w:val="1"/>
        </w:numPr>
        <w:spacing w:after="60"/>
      </w:pPr>
      <w:r>
        <w:rPr>
          <w:b/>
          <w:bCs/>
        </w:rPr>
        <w:t>Web URL</w:t>
      </w:r>
      <w:r>
        <w:t xml:space="preserve"> — opens an external link.</w:t>
      </w:r>
    </w:p>
    <w:p w14:paraId="1A6FF576" w14:textId="77777777" w:rsidR="0040359F" w:rsidRDefault="00000000">
      <w:pPr>
        <w:pStyle w:val="ListParagraph"/>
        <w:numPr>
          <w:ilvl w:val="0"/>
          <w:numId w:val="1"/>
        </w:numPr>
        <w:spacing w:after="60"/>
      </w:pPr>
      <w:r>
        <w:rPr>
          <w:b/>
          <w:bCs/>
        </w:rPr>
        <w:t>Q&amp;A</w:t>
      </w:r>
      <w:r>
        <w:t xml:space="preserve"> — opens the natural language Q&amp;A visual.</w:t>
      </w:r>
    </w:p>
    <w:p w14:paraId="26988FF6" w14:textId="0AD663F0" w:rsidR="00C819E4" w:rsidRDefault="00000000">
      <w:pPr>
        <w:spacing w:after="150"/>
      </w:pPr>
      <w:r>
        <w:t xml:space="preserve">Buttons also support multiple visual </w:t>
      </w:r>
      <w:r>
        <w:rPr>
          <w:b/>
          <w:bCs/>
        </w:rPr>
        <w:t>states</w:t>
      </w:r>
      <w:r>
        <w:t xml:space="preserve"> (Default, On Hover, On Press, Disabled) each independently formatted.</w:t>
      </w:r>
    </w:p>
    <w:p w14:paraId="2D4CAF12" w14:textId="77777777" w:rsidR="0040359F" w:rsidRDefault="00000000">
      <w:pPr>
        <w:pStyle w:val="Heading2"/>
      </w:pPr>
      <w:bookmarkStart w:id="40" w:name="_Toc236395478"/>
      <w:r>
        <w:t>6.3 Tooltip Pages</w:t>
      </w:r>
      <w:bookmarkEnd w:id="40"/>
    </w:p>
    <w:p w14:paraId="71E520E0" w14:textId="77777777" w:rsidR="0040359F" w:rsidRDefault="00000000">
      <w:pPr>
        <w:spacing w:after="150"/>
      </w:pPr>
      <w:r>
        <w:t xml:space="preserve">Beyond the default hover tooltip, Power BI supports </w:t>
      </w:r>
      <w:r>
        <w:rPr>
          <w:b/>
          <w:bCs/>
        </w:rPr>
        <w:t>Report Page Tooltips</w:t>
      </w:r>
      <w:r>
        <w:t xml:space="preserve">: a dedicated small report page, formatted specifically to serve as a rich, custom tooltip (mini charts, </w:t>
      </w:r>
      <w:proofErr w:type="spellStart"/>
      <w:r>
        <w:t>KPIs</w:t>
      </w:r>
      <w:proofErr w:type="spellEnd"/>
      <w:r>
        <w:t>, images) that appears when hovering over a data point on another visual.</w:t>
      </w:r>
    </w:p>
    <w:p w14:paraId="7E2B1B52" w14:textId="77777777" w:rsidR="0040359F" w:rsidRDefault="00000000">
      <w:pPr>
        <w:pStyle w:val="Heading3"/>
      </w:pPr>
      <w:bookmarkStart w:id="41" w:name="_Toc236395479"/>
      <w:r>
        <w:t>Setting up</w:t>
      </w:r>
      <w:bookmarkEnd w:id="41"/>
    </w:p>
    <w:p w14:paraId="56C412FF" w14:textId="77777777" w:rsidR="0040359F" w:rsidRDefault="00000000">
      <w:pPr>
        <w:pStyle w:val="ListParagraph"/>
        <w:numPr>
          <w:ilvl w:val="0"/>
          <w:numId w:val="2"/>
        </w:numPr>
        <w:spacing w:after="60"/>
      </w:pPr>
      <w:r>
        <w:t xml:space="preserve">Create a new page; set </w:t>
      </w:r>
      <w:r>
        <w:rPr>
          <w:b/>
          <w:bCs/>
        </w:rPr>
        <w:t>"Allow use as tooltip"</w:t>
      </w:r>
      <w:r>
        <w:t xml:space="preserve"> to On, and set an appropriate small canvas size (Power BI offers a "Tooltip" page size preset, e.g., 320×240 </w:t>
      </w:r>
      <w:proofErr w:type="spellStart"/>
      <w:r>
        <w:t>px</w:t>
      </w:r>
      <w:proofErr w:type="spellEnd"/>
      <w:r>
        <w:t>).</w:t>
      </w:r>
    </w:p>
    <w:p w14:paraId="3B19A45E" w14:textId="77777777" w:rsidR="0040359F" w:rsidRDefault="00000000">
      <w:pPr>
        <w:pStyle w:val="ListParagraph"/>
        <w:numPr>
          <w:ilvl w:val="0"/>
          <w:numId w:val="2"/>
        </w:numPr>
        <w:spacing w:after="60"/>
      </w:pPr>
      <w:r>
        <w:t>Build mini visuals on that page using fields matching the granularity you want to filter by.</w:t>
      </w:r>
    </w:p>
    <w:p w14:paraId="61C37AEB" w14:textId="77777777" w:rsidR="0040359F" w:rsidRDefault="00000000">
      <w:pPr>
        <w:pStyle w:val="ListParagraph"/>
        <w:numPr>
          <w:ilvl w:val="0"/>
          <w:numId w:val="2"/>
        </w:numPr>
        <w:spacing w:after="60"/>
      </w:pPr>
      <w:r>
        <w:t xml:space="preserve">On the target visual, Format pane → Tooltips → set </w:t>
      </w:r>
      <w:r>
        <w:rPr>
          <w:b/>
          <w:bCs/>
        </w:rPr>
        <w:t>Type = Report page</w:t>
      </w:r>
      <w:r>
        <w:t xml:space="preserve"> and choose the tooltip page.</w:t>
      </w:r>
    </w:p>
    <w:p w14:paraId="234F823C" w14:textId="77777777" w:rsidR="0040359F" w:rsidRDefault="00000000">
      <w:pPr>
        <w:pStyle w:val="ListParagraph"/>
        <w:numPr>
          <w:ilvl w:val="0"/>
          <w:numId w:val="2"/>
        </w:numPr>
        <w:spacing w:after="60"/>
      </w:pPr>
      <w:r>
        <w:t xml:space="preserve">Optionally enable </w:t>
      </w:r>
      <w:r>
        <w:rPr>
          <w:b/>
          <w:bCs/>
        </w:rPr>
        <w:t>"Cross-filter tooltip fields"</w:t>
      </w:r>
      <w:r>
        <w:t xml:space="preserve"> so the tooltip page respects the hovered category context correctly.</w:t>
      </w:r>
    </w:p>
    <w:p w14:paraId="3C43EAC0" w14:textId="77777777" w:rsidR="0040359F" w:rsidRDefault="00000000">
      <w:pPr>
        <w:spacing w:after="150"/>
      </w:pPr>
      <w:r>
        <w:rPr>
          <w:b/>
          <w:bCs/>
        </w:rPr>
        <w:t>Case study</w:t>
      </w:r>
      <w:r>
        <w:t>: Hovering over a bar in a "Sales by Product Category" chart shows a rich tooltip with a small trend line of that category's sales over the last 12 months, plus a KPI comparing to target — built as a hidden dedicated tooltip page rather than the default flat tooltip.</w:t>
      </w:r>
    </w:p>
    <w:p w14:paraId="7144E459" w14:textId="77777777" w:rsidR="00C819E4" w:rsidRDefault="00C819E4">
      <w:pPr>
        <w:spacing w:after="150"/>
      </w:pPr>
    </w:p>
    <w:p w14:paraId="2CFFA4CC" w14:textId="77777777" w:rsidR="00C819E4" w:rsidRDefault="00C819E4">
      <w:pPr>
        <w:spacing w:after="150"/>
      </w:pPr>
    </w:p>
    <w:p w14:paraId="79E21F78" w14:textId="77777777" w:rsidR="00C819E4" w:rsidRDefault="00C819E4">
      <w:pPr>
        <w:spacing w:after="150"/>
      </w:pPr>
    </w:p>
    <w:p w14:paraId="44A05145" w14:textId="77777777" w:rsidR="00C819E4" w:rsidRDefault="00C819E4">
      <w:pPr>
        <w:spacing w:after="150"/>
      </w:pPr>
    </w:p>
    <w:p w14:paraId="60FA9B48" w14:textId="77777777" w:rsidR="00C819E4" w:rsidRDefault="00C819E4">
      <w:pPr>
        <w:spacing w:after="150"/>
      </w:pPr>
    </w:p>
    <w:p w14:paraId="2889029F" w14:textId="77777777" w:rsidR="00C819E4" w:rsidRDefault="00C819E4">
      <w:pPr>
        <w:spacing w:after="150"/>
      </w:pPr>
    </w:p>
    <w:p w14:paraId="5BA026BF" w14:textId="77777777" w:rsidR="00C819E4" w:rsidRDefault="00C819E4">
      <w:pPr>
        <w:spacing w:after="150"/>
      </w:pPr>
    </w:p>
    <w:p w14:paraId="2B4F468F" w14:textId="77777777" w:rsidR="00C819E4" w:rsidRDefault="00C819E4">
      <w:pPr>
        <w:spacing w:after="150"/>
      </w:pPr>
    </w:p>
    <w:p w14:paraId="0F37ABBD" w14:textId="77777777" w:rsidR="00C819E4" w:rsidRDefault="00C819E4">
      <w:pPr>
        <w:spacing w:after="150"/>
      </w:pPr>
    </w:p>
    <w:p w14:paraId="3BAAB1FB" w14:textId="77777777" w:rsidR="00C819E4" w:rsidRDefault="00C819E4">
      <w:pPr>
        <w:spacing w:after="150"/>
      </w:pPr>
    </w:p>
    <w:p w14:paraId="14918F03" w14:textId="77777777" w:rsidR="0040359F" w:rsidRDefault="00000000">
      <w:pPr>
        <w:pStyle w:val="Heading1"/>
      </w:pPr>
      <w:bookmarkStart w:id="42" w:name="_Toc236395480"/>
      <w:r>
        <w:lastRenderedPageBreak/>
        <w:t>Part 7: Other Visualizations</w:t>
      </w:r>
      <w:bookmarkEnd w:id="42"/>
    </w:p>
    <w:p w14:paraId="2F280F9A" w14:textId="77777777" w:rsidR="0040359F" w:rsidRDefault="00000000">
      <w:pPr>
        <w:pStyle w:val="Heading2"/>
      </w:pPr>
      <w:bookmarkStart w:id="43" w:name="_Toc236395481"/>
      <w:r>
        <w:t>7.1 Ribbon Charts</w:t>
      </w:r>
      <w:bookmarkEnd w:id="43"/>
    </w:p>
    <w:p w14:paraId="2EEB528D" w14:textId="77777777" w:rsidR="0040359F" w:rsidRDefault="00000000">
      <w:pPr>
        <w:spacing w:after="150"/>
      </w:pPr>
      <w:r>
        <w:t xml:space="preserve">A </w:t>
      </w:r>
      <w:r>
        <w:rPr>
          <w:b/>
          <w:bCs/>
        </w:rPr>
        <w:t>Ribbon chart</w:t>
      </w:r>
      <w:r>
        <w:t xml:space="preserve"> is a stacked column chart variant that adds flowing "ribbons" connecting the segments between adjacent categories (typically time periods), and automatically highlights/reorders which category holds the </w:t>
      </w:r>
      <w:r>
        <w:rPr>
          <w:b/>
          <w:bCs/>
        </w:rPr>
        <w:t>highest rank</w:t>
      </w:r>
      <w:r>
        <w:t xml:space="preserve"> at each point — making rank changes over time immediately visible.</w:t>
      </w:r>
    </w:p>
    <w:p w14:paraId="14CAA944" w14:textId="77777777" w:rsidR="0040359F" w:rsidRDefault="00000000">
      <w:pPr>
        <w:spacing w:after="150"/>
      </w:pPr>
      <w:r>
        <w:rPr>
          <w:b/>
          <w:bCs/>
        </w:rPr>
        <w:t>Use case</w:t>
      </w:r>
      <w:r>
        <w:t>: Tracking which product category holds the #1 sales rank each month, and visualizing when the leader changes.</w:t>
      </w:r>
    </w:p>
    <w:p w14:paraId="3DCC5877" w14:textId="77777777" w:rsidR="0040359F" w:rsidRDefault="00000000">
      <w:pPr>
        <w:pStyle w:val="Heading2"/>
      </w:pPr>
      <w:bookmarkStart w:id="44" w:name="_Toc236395482"/>
      <w:r>
        <w:t>7.2 Waterfall Charts</w:t>
      </w:r>
      <w:bookmarkEnd w:id="44"/>
    </w:p>
    <w:p w14:paraId="636AA100" w14:textId="77777777" w:rsidR="0040359F" w:rsidRDefault="00000000">
      <w:pPr>
        <w:spacing w:after="150"/>
      </w:pPr>
      <w:r>
        <w:t xml:space="preserve">A </w:t>
      </w:r>
      <w:r>
        <w:rPr>
          <w:b/>
          <w:bCs/>
        </w:rPr>
        <w:t>Waterfall chart</w:t>
      </w:r>
      <w:r>
        <w:t xml:space="preserve"> shows how a starting value is incrementally increased or decreased by a sequence of positive/negative contributions to arrive at a final value, using floating bars.</w:t>
      </w:r>
    </w:p>
    <w:p w14:paraId="0CAF59B1" w14:textId="77777777" w:rsidR="0040359F" w:rsidRDefault="00000000">
      <w:pPr>
        <w:pStyle w:val="ListParagraph"/>
        <w:numPr>
          <w:ilvl w:val="0"/>
          <w:numId w:val="1"/>
        </w:numPr>
        <w:spacing w:after="60"/>
      </w:pPr>
      <w:r>
        <w:rPr>
          <w:b/>
          <w:bCs/>
        </w:rPr>
        <w:t>Category</w:t>
      </w:r>
      <w:r>
        <w:t xml:space="preserve"> well = the sequence of contributing factors (or time periods).</w:t>
      </w:r>
    </w:p>
    <w:p w14:paraId="3E1082DD" w14:textId="77777777" w:rsidR="0040359F" w:rsidRDefault="00000000">
      <w:pPr>
        <w:pStyle w:val="ListParagraph"/>
        <w:numPr>
          <w:ilvl w:val="0"/>
          <w:numId w:val="1"/>
        </w:numPr>
        <w:spacing w:after="60"/>
      </w:pPr>
      <w:r>
        <w:rPr>
          <w:b/>
          <w:bCs/>
        </w:rPr>
        <w:t>Breakdown</w:t>
      </w:r>
      <w:r>
        <w:t xml:space="preserve"> well = optionally decompose each column further into sub-categories.</w:t>
      </w:r>
    </w:p>
    <w:p w14:paraId="1A792E88" w14:textId="77777777" w:rsidR="0040359F" w:rsidRDefault="00000000">
      <w:pPr>
        <w:pStyle w:val="ListParagraph"/>
        <w:numPr>
          <w:ilvl w:val="0"/>
          <w:numId w:val="1"/>
        </w:numPr>
        <w:spacing w:after="60"/>
      </w:pPr>
      <w:r>
        <w:t xml:space="preserve">Increase/decrease/total columns can be </w:t>
      </w:r>
      <w:proofErr w:type="spellStart"/>
      <w:r>
        <w:t>colored</w:t>
      </w:r>
      <w:proofErr w:type="spellEnd"/>
      <w:r>
        <w:t xml:space="preserve"> differently; a "Sentiment" setting lets you mark specific categories explicitly as increase/decrease/total regardless of their sign.</w:t>
      </w:r>
    </w:p>
    <w:p w14:paraId="35FACD81" w14:textId="77777777" w:rsidR="0040359F" w:rsidRDefault="00000000">
      <w:pPr>
        <w:spacing w:after="150"/>
      </w:pPr>
      <w:r>
        <w:rPr>
          <w:b/>
          <w:bCs/>
        </w:rPr>
        <w:t>Use case</w:t>
      </w:r>
      <w:r>
        <w:t>: Reconciling Budget to Actual (start = Budget, bars = variance drivers like Volume, Price, FX, end = Actual), or showing monthly profit build from Revenue down through expense categories to Net Income.</w:t>
      </w:r>
    </w:p>
    <w:p w14:paraId="71AAAD3F" w14:textId="77777777" w:rsidR="0040359F" w:rsidRDefault="00000000">
      <w:pPr>
        <w:pStyle w:val="Heading2"/>
      </w:pPr>
      <w:bookmarkStart w:id="45" w:name="_Toc236395483"/>
      <w:r>
        <w:t>7.3 Scatter, Bubble, and Dot Plot Charts</w:t>
      </w:r>
      <w:bookmarkEnd w:id="45"/>
    </w:p>
    <w:p w14:paraId="3BC52C7E" w14:textId="77777777" w:rsidR="0040359F" w:rsidRDefault="00000000">
      <w:pPr>
        <w:pStyle w:val="ListParagraph"/>
        <w:numPr>
          <w:ilvl w:val="0"/>
          <w:numId w:val="1"/>
        </w:numPr>
        <w:spacing w:after="60"/>
      </w:pPr>
      <w:r>
        <w:rPr>
          <w:b/>
          <w:bCs/>
        </w:rPr>
        <w:t>Scatter chart</w:t>
      </w:r>
      <w:r>
        <w:t>: Plots two numeric measures (X and Y axis) as points, one per category — used to find correlation/relationships between two variables.</w:t>
      </w:r>
    </w:p>
    <w:p w14:paraId="1648B91D" w14:textId="77777777" w:rsidR="0040359F" w:rsidRDefault="00000000">
      <w:pPr>
        <w:pStyle w:val="ListParagraph"/>
        <w:numPr>
          <w:ilvl w:val="0"/>
          <w:numId w:val="1"/>
        </w:numPr>
        <w:spacing w:after="60"/>
      </w:pPr>
      <w:r>
        <w:rPr>
          <w:b/>
          <w:bCs/>
        </w:rPr>
        <w:t>Bubble chart</w:t>
      </w:r>
      <w:r>
        <w:t xml:space="preserve">: A scatter chart with a third numeric measure mapped to bubble </w:t>
      </w:r>
      <w:r>
        <w:rPr>
          <w:b/>
          <w:bCs/>
        </w:rPr>
        <w:t>size</w:t>
      </w:r>
      <w:r>
        <w:t xml:space="preserve">, and optionally a </w:t>
      </w:r>
      <w:r>
        <w:rPr>
          <w:b/>
          <w:bCs/>
        </w:rPr>
        <w:t>Play axis</w:t>
      </w:r>
      <w:r>
        <w:t xml:space="preserve"> field (adds a time-based animation slider) to animate how bubbles move over time.</w:t>
      </w:r>
    </w:p>
    <w:p w14:paraId="7EF2511E" w14:textId="77777777" w:rsidR="0040359F" w:rsidRDefault="00000000">
      <w:pPr>
        <w:pStyle w:val="ListParagraph"/>
        <w:numPr>
          <w:ilvl w:val="0"/>
          <w:numId w:val="1"/>
        </w:numPr>
        <w:spacing w:after="60"/>
      </w:pPr>
      <w:r>
        <w:rPr>
          <w:b/>
          <w:bCs/>
        </w:rPr>
        <w:t>Dot plot</w:t>
      </w:r>
      <w:r>
        <w:t>: A simplified single-axis scatter (categorical Y-axis vs. numeric X-axis) — good for comparing many categories on a single measure without bars.</w:t>
      </w:r>
    </w:p>
    <w:p w14:paraId="311EE5F5" w14:textId="77777777" w:rsidR="0040359F" w:rsidRDefault="00000000">
      <w:pPr>
        <w:spacing w:after="150"/>
      </w:pPr>
      <w:r>
        <w:t>Formatting includes bubble size min/max, shape/symmetry, and a Play axis control for animation.</w:t>
      </w:r>
    </w:p>
    <w:p w14:paraId="0968BDCD" w14:textId="77777777" w:rsidR="0040359F" w:rsidRDefault="00000000">
      <w:pPr>
        <w:spacing w:after="150"/>
      </w:pPr>
      <w:r>
        <w:rPr>
          <w:b/>
          <w:bCs/>
        </w:rPr>
        <w:t>Case study</w:t>
      </w:r>
      <w:r>
        <w:t>: Plotting Profit Margin (X) vs. Sales Volume (Y) with Bubble Size = Market Share and Play Axis = Year to animate how each product's position shifts year over year.</w:t>
      </w:r>
    </w:p>
    <w:p w14:paraId="12461421" w14:textId="77777777" w:rsidR="0040359F" w:rsidRDefault="00000000">
      <w:pPr>
        <w:pStyle w:val="Heading2"/>
      </w:pPr>
      <w:bookmarkStart w:id="46" w:name="_Toc236395484"/>
      <w:r>
        <w:t>7.4 Pie Charts and Donut Charts</w:t>
      </w:r>
      <w:bookmarkEnd w:id="46"/>
    </w:p>
    <w:p w14:paraId="257EE160" w14:textId="77777777" w:rsidR="0040359F" w:rsidRDefault="00000000">
      <w:pPr>
        <w:pStyle w:val="ListParagraph"/>
        <w:numPr>
          <w:ilvl w:val="0"/>
          <w:numId w:val="1"/>
        </w:numPr>
        <w:spacing w:after="60"/>
      </w:pPr>
      <w:r>
        <w:rPr>
          <w:b/>
          <w:bCs/>
        </w:rPr>
        <w:t>Pie chart</w:t>
      </w:r>
      <w:r>
        <w:t>: Shows part-to-whole composition as slices of a circle; best limited to a small number of categories (generally 5–7 max) to remain readable.</w:t>
      </w:r>
    </w:p>
    <w:p w14:paraId="0F98D9DF" w14:textId="77777777" w:rsidR="0040359F" w:rsidRDefault="00000000">
      <w:pPr>
        <w:pStyle w:val="ListParagraph"/>
        <w:numPr>
          <w:ilvl w:val="0"/>
          <w:numId w:val="1"/>
        </w:numPr>
        <w:spacing w:after="60"/>
      </w:pPr>
      <w:r>
        <w:rPr>
          <w:b/>
          <w:bCs/>
        </w:rPr>
        <w:t>Donut chart</w:t>
      </w:r>
      <w:r>
        <w:t xml:space="preserve">: Same concept with a hollow </w:t>
      </w:r>
      <w:proofErr w:type="spellStart"/>
      <w:r>
        <w:t>center</w:t>
      </w:r>
      <w:proofErr w:type="spellEnd"/>
      <w:r>
        <w:t>, which can hold a label/total.</w:t>
      </w:r>
    </w:p>
    <w:p w14:paraId="75EB0A1D" w14:textId="77777777" w:rsidR="0040359F" w:rsidRDefault="00000000">
      <w:pPr>
        <w:spacing w:after="150"/>
      </w:pPr>
      <w:r>
        <w:t xml:space="preserve">Both support </w:t>
      </w:r>
      <w:r>
        <w:rPr>
          <w:b/>
          <w:bCs/>
        </w:rPr>
        <w:t>Detail label</w:t>
      </w:r>
      <w:r>
        <w:t xml:space="preserve"> showing value, percent of total, or category name, and can group small slices into an "Other" bucket via the "..." menu → group.</w:t>
      </w:r>
    </w:p>
    <w:p w14:paraId="54EFED06" w14:textId="77777777" w:rsidR="0040359F" w:rsidRDefault="00000000">
      <w:pPr>
        <w:spacing w:after="150"/>
      </w:pPr>
      <w:r>
        <w:rPr>
          <w:b/>
          <w:bCs/>
        </w:rPr>
        <w:t>Caveat tested on exam</w:t>
      </w:r>
      <w:r>
        <w:t>: Pie/donut charts are discouraged for more than a handful of categories or for comparing values that are close in magnitude — bar charts are usually the better recommendation in those scenarios.</w:t>
      </w:r>
    </w:p>
    <w:p w14:paraId="6FC643A5" w14:textId="77777777" w:rsidR="00C819E4" w:rsidRDefault="00C819E4">
      <w:pPr>
        <w:spacing w:after="150"/>
      </w:pPr>
    </w:p>
    <w:p w14:paraId="0E1CB02D" w14:textId="77777777" w:rsidR="00C819E4" w:rsidRDefault="00C819E4">
      <w:pPr>
        <w:spacing w:after="150"/>
      </w:pPr>
    </w:p>
    <w:p w14:paraId="1364EE00" w14:textId="77777777" w:rsidR="0040359F" w:rsidRDefault="00000000">
      <w:pPr>
        <w:pStyle w:val="Heading2"/>
      </w:pPr>
      <w:bookmarkStart w:id="47" w:name="_Toc236395485"/>
      <w:r>
        <w:lastRenderedPageBreak/>
        <w:t xml:space="preserve">7.5 </w:t>
      </w:r>
      <w:proofErr w:type="spellStart"/>
      <w:r>
        <w:t>Treemaps</w:t>
      </w:r>
      <w:bookmarkEnd w:id="47"/>
      <w:proofErr w:type="spellEnd"/>
    </w:p>
    <w:p w14:paraId="220B4247" w14:textId="77777777" w:rsidR="0040359F" w:rsidRDefault="00000000">
      <w:pPr>
        <w:spacing w:after="150"/>
      </w:pPr>
      <w:r>
        <w:t xml:space="preserve">A </w:t>
      </w:r>
      <w:proofErr w:type="spellStart"/>
      <w:r>
        <w:rPr>
          <w:b/>
          <w:bCs/>
        </w:rPr>
        <w:t>Treemap</w:t>
      </w:r>
      <w:proofErr w:type="spellEnd"/>
      <w:r>
        <w:t xml:space="preserve"> displays hierarchical part-to-whole data as nested rectangles, where rectangle </w:t>
      </w:r>
      <w:r>
        <w:rPr>
          <w:b/>
          <w:bCs/>
        </w:rPr>
        <w:t>area</w:t>
      </w:r>
      <w:r>
        <w:t xml:space="preserve"> is proportional to value, and rectangles can be grouped by a </w:t>
      </w:r>
      <w:r>
        <w:rPr>
          <w:b/>
          <w:bCs/>
        </w:rPr>
        <w:t>Group</w:t>
      </w:r>
      <w:r>
        <w:t xml:space="preserve"> field and further subdivided by a </w:t>
      </w:r>
      <w:r>
        <w:rPr>
          <w:b/>
          <w:bCs/>
        </w:rPr>
        <w:t>Details</w:t>
      </w:r>
      <w:r>
        <w:t xml:space="preserve"> field.</w:t>
      </w:r>
    </w:p>
    <w:p w14:paraId="24FA7430" w14:textId="77777777" w:rsidR="0040359F" w:rsidRDefault="00000000">
      <w:pPr>
        <w:spacing w:after="150"/>
      </w:pPr>
      <w:r>
        <w:rPr>
          <w:b/>
          <w:bCs/>
        </w:rPr>
        <w:t>Use case</w:t>
      </w:r>
      <w:r>
        <w:t>: Visualizing Sales by Category (large rectangles) subdivided by Sub-Category (nested smaller rectangles) — good for showing both hierarchy and relative magnitude in limited space.</w:t>
      </w:r>
    </w:p>
    <w:p w14:paraId="37481979" w14:textId="77777777" w:rsidR="0040359F" w:rsidRDefault="00000000">
      <w:pPr>
        <w:pStyle w:val="Heading2"/>
      </w:pPr>
      <w:bookmarkStart w:id="48" w:name="_Toc236395486"/>
      <w:r>
        <w:t>7.6 Funnel Charts</w:t>
      </w:r>
      <w:bookmarkEnd w:id="48"/>
    </w:p>
    <w:p w14:paraId="64060E19" w14:textId="77777777" w:rsidR="0040359F" w:rsidRDefault="00000000">
      <w:pPr>
        <w:spacing w:after="150"/>
      </w:pPr>
      <w:r>
        <w:t xml:space="preserve">A </w:t>
      </w:r>
      <w:r>
        <w:rPr>
          <w:b/>
          <w:bCs/>
        </w:rPr>
        <w:t>Funnel chart</w:t>
      </w:r>
      <w:r>
        <w:t xml:space="preserve"> visualizes sequential stages of a process, typically decreasing in value at each stage, with bars narrowing (or widening) to reflect drop-off, and automatically calculates </w:t>
      </w:r>
      <w:r>
        <w:rPr>
          <w:b/>
          <w:bCs/>
        </w:rPr>
        <w:t>conversion percentages</w:t>
      </w:r>
      <w:r>
        <w:t xml:space="preserve"> between stages (both from the first stage and stage-to-stage).</w:t>
      </w:r>
    </w:p>
    <w:p w14:paraId="5757B870" w14:textId="77777777" w:rsidR="0040359F" w:rsidRDefault="00000000">
      <w:pPr>
        <w:spacing w:after="150"/>
      </w:pPr>
      <w:r>
        <w:rPr>
          <w:b/>
          <w:bCs/>
        </w:rPr>
        <w:t>Use case</w:t>
      </w:r>
      <w:r>
        <w:t>: Sales pipeline stages (Leads → Qualified → Proposal → Negotiation → Closed Won), visualizing where the biggest drop-off occurs.</w:t>
      </w:r>
    </w:p>
    <w:p w14:paraId="68B7A0A8" w14:textId="77777777" w:rsidR="00C819E4" w:rsidRDefault="00C819E4">
      <w:pPr>
        <w:spacing w:after="150"/>
      </w:pPr>
    </w:p>
    <w:p w14:paraId="229FECAC" w14:textId="77777777" w:rsidR="00C819E4" w:rsidRDefault="00C819E4">
      <w:pPr>
        <w:spacing w:after="150"/>
      </w:pPr>
    </w:p>
    <w:p w14:paraId="064BD9DE" w14:textId="77777777" w:rsidR="00C819E4" w:rsidRDefault="00C819E4">
      <w:pPr>
        <w:spacing w:after="150"/>
      </w:pPr>
    </w:p>
    <w:p w14:paraId="3BD489D1" w14:textId="77777777" w:rsidR="00C819E4" w:rsidRDefault="00C819E4">
      <w:pPr>
        <w:spacing w:after="150"/>
      </w:pPr>
    </w:p>
    <w:p w14:paraId="7F612DF8" w14:textId="77777777" w:rsidR="00C819E4" w:rsidRDefault="00C819E4">
      <w:pPr>
        <w:spacing w:after="150"/>
      </w:pPr>
    </w:p>
    <w:p w14:paraId="5B4B74FB" w14:textId="77777777" w:rsidR="0040359F" w:rsidRDefault="00000000">
      <w:pPr>
        <w:pStyle w:val="Heading1"/>
      </w:pPr>
      <w:bookmarkStart w:id="49" w:name="_Toc236395487"/>
      <w:r>
        <w:t>Part 8: Mapping</w:t>
      </w:r>
      <w:bookmarkEnd w:id="49"/>
    </w:p>
    <w:p w14:paraId="78D3A848" w14:textId="77777777" w:rsidR="0040359F" w:rsidRDefault="00000000">
      <w:pPr>
        <w:pStyle w:val="Heading2"/>
      </w:pPr>
      <w:bookmarkStart w:id="50" w:name="_Toc236395488"/>
      <w:r>
        <w:t>8.1 Map Visual Types</w:t>
      </w:r>
      <w:bookmarkEnd w:id="50"/>
    </w:p>
    <w:p w14:paraId="6AEBCFF5" w14:textId="77777777" w:rsidR="0040359F" w:rsidRDefault="00000000">
      <w:pPr>
        <w:pStyle w:val="ListParagraph"/>
        <w:numPr>
          <w:ilvl w:val="0"/>
          <w:numId w:val="1"/>
        </w:numPr>
        <w:spacing w:after="60"/>
      </w:pPr>
      <w:r>
        <w:rPr>
          <w:b/>
          <w:bCs/>
        </w:rPr>
        <w:t>Map (Bing/Azure Maps-based bubble map)</w:t>
      </w:r>
      <w:r>
        <w:t xml:space="preserve">: Plots </w:t>
      </w:r>
      <w:r>
        <w:rPr>
          <w:b/>
          <w:bCs/>
        </w:rPr>
        <w:t>Location</w:t>
      </w:r>
      <w:r>
        <w:t xml:space="preserve"> (geography field or Latitude/Longitude) with bubble </w:t>
      </w:r>
      <w:r>
        <w:rPr>
          <w:b/>
          <w:bCs/>
        </w:rPr>
        <w:t>Size</w:t>
      </w:r>
      <w:r>
        <w:t xml:space="preserve"> representing a numeric measure, and optional </w:t>
      </w:r>
      <w:r>
        <w:rPr>
          <w:b/>
          <w:bCs/>
        </w:rPr>
        <w:t>Legend</w:t>
      </w:r>
      <w:r>
        <w:t xml:space="preserve"> for color-coded categories.</w:t>
      </w:r>
    </w:p>
    <w:p w14:paraId="7395E94E" w14:textId="77777777" w:rsidR="0040359F" w:rsidRDefault="00000000">
      <w:pPr>
        <w:pStyle w:val="ListParagraph"/>
        <w:numPr>
          <w:ilvl w:val="0"/>
          <w:numId w:val="1"/>
        </w:numPr>
        <w:spacing w:after="60"/>
      </w:pPr>
      <w:r>
        <w:rPr>
          <w:b/>
          <w:bCs/>
        </w:rPr>
        <w:t>Filled Map (Choropleth)</w:t>
      </w:r>
      <w:r>
        <w:t xml:space="preserve">: Shades geographic regions (countries, states/provinces, postal codes) by </w:t>
      </w:r>
      <w:proofErr w:type="spellStart"/>
      <w:r>
        <w:t>color</w:t>
      </w:r>
      <w:proofErr w:type="spellEnd"/>
      <w:r>
        <w:t xml:space="preserve"> intensity based on a value — good for density/rate comparisons, but can be misleading if raw counts (rather than normalized rates) are used for very differently-sized regions.</w:t>
      </w:r>
    </w:p>
    <w:p w14:paraId="5924468D" w14:textId="77777777" w:rsidR="0040359F" w:rsidRDefault="00000000">
      <w:pPr>
        <w:pStyle w:val="ListParagraph"/>
        <w:numPr>
          <w:ilvl w:val="0"/>
          <w:numId w:val="1"/>
        </w:numPr>
        <w:spacing w:after="60"/>
      </w:pPr>
      <w:r>
        <w:rPr>
          <w:b/>
          <w:bCs/>
        </w:rPr>
        <w:t>Shape Map</w:t>
      </w:r>
      <w:r>
        <w:t xml:space="preserve">: Uses a custom or built-in </w:t>
      </w:r>
      <w:proofErr w:type="spellStart"/>
      <w:r>
        <w:t>TopoJSON</w:t>
      </w:r>
      <w:proofErr w:type="spellEnd"/>
      <w:r>
        <w:t xml:space="preserve"> file to shade custom-defined regions (e.g., sales territories that don't match standard geography).</w:t>
      </w:r>
    </w:p>
    <w:p w14:paraId="5FB37ABE" w14:textId="77777777" w:rsidR="0040359F" w:rsidRDefault="00000000">
      <w:pPr>
        <w:pStyle w:val="ListParagraph"/>
        <w:numPr>
          <w:ilvl w:val="0"/>
          <w:numId w:val="1"/>
        </w:numPr>
        <w:spacing w:after="60"/>
      </w:pPr>
      <w:r>
        <w:rPr>
          <w:b/>
          <w:bCs/>
        </w:rPr>
        <w:t>ArcGIS Maps for Power BI</w:t>
      </w:r>
      <w:r>
        <w:t>: A richer, Esri-powered mapping visual supporting reference layers (demographics, drive-time analysis), heat maps, and more advanced geospatial analytics.</w:t>
      </w:r>
    </w:p>
    <w:p w14:paraId="0378BDF8" w14:textId="77777777" w:rsidR="0040359F" w:rsidRDefault="00000000">
      <w:pPr>
        <w:pStyle w:val="ListParagraph"/>
        <w:numPr>
          <w:ilvl w:val="0"/>
          <w:numId w:val="1"/>
        </w:numPr>
        <w:spacing w:after="60"/>
      </w:pPr>
      <w:r>
        <w:rPr>
          <w:b/>
          <w:bCs/>
        </w:rPr>
        <w:t>Azure Maps visual</w:t>
      </w:r>
      <w:r>
        <w:t>: Microsoft's newer built-in mapping visual supporting bubble layers, choropleth-style region layers, and routes.</w:t>
      </w:r>
    </w:p>
    <w:p w14:paraId="4A1C78A2" w14:textId="77777777" w:rsidR="0040359F" w:rsidRDefault="00000000">
      <w:pPr>
        <w:pStyle w:val="Heading2"/>
      </w:pPr>
      <w:bookmarkStart w:id="51" w:name="_Toc236395489"/>
      <w:r>
        <w:t>8.2 Geocoding Considerations</w:t>
      </w:r>
      <w:bookmarkEnd w:id="51"/>
    </w:p>
    <w:p w14:paraId="414CB8C4" w14:textId="77777777" w:rsidR="0040359F" w:rsidRDefault="00000000">
      <w:pPr>
        <w:spacing w:after="150"/>
      </w:pPr>
      <w:r>
        <w:t xml:space="preserve">Power BI geocodes text-based location fields (City, State, Country) automatically via Bing/Azure geocoding services, but ambiguous names (e.g., a city name that exists in multiple countries) can geocode incorrectly. </w:t>
      </w:r>
      <w:r>
        <w:rPr>
          <w:b/>
          <w:bCs/>
        </w:rPr>
        <w:t>Best practice</w:t>
      </w:r>
      <w:r>
        <w:t xml:space="preserve">: Provide a hierarchy (City, State, Country all included) so geocoding has enough context, or better, supply pre-resolved </w:t>
      </w:r>
      <w:r>
        <w:rPr>
          <w:b/>
          <w:bCs/>
        </w:rPr>
        <w:t>Latitude/Longitude</w:t>
      </w:r>
      <w:r>
        <w:t xml:space="preserve"> fields for guaranteed accuracy — a common exam "what would fix this mapping error" scenario. The </w:t>
      </w:r>
      <w:r>
        <w:rPr>
          <w:b/>
          <w:bCs/>
        </w:rPr>
        <w:t>Data Category</w:t>
      </w:r>
      <w:r>
        <w:t xml:space="preserve"> property (</w:t>
      </w:r>
      <w:proofErr w:type="spellStart"/>
      <w:r>
        <w:t>Modeling</w:t>
      </w:r>
      <w:proofErr w:type="spellEnd"/>
      <w:r>
        <w:t xml:space="preserve"> ribbon, or column properties) should be explicitly set (City, State/Province, Country, Postal Code, etc.) on geography fields so Power BI treats them correctly.</w:t>
      </w:r>
    </w:p>
    <w:p w14:paraId="37590FD8" w14:textId="77777777" w:rsidR="0040359F" w:rsidRDefault="00000000">
      <w:pPr>
        <w:pStyle w:val="Heading2"/>
      </w:pPr>
      <w:bookmarkStart w:id="52" w:name="_Toc236395490"/>
      <w:r>
        <w:lastRenderedPageBreak/>
        <w:t>8.3 Formatting Map Visuals</w:t>
      </w:r>
      <w:bookmarkEnd w:id="52"/>
    </w:p>
    <w:p w14:paraId="6EC1A6BC" w14:textId="77777777" w:rsidR="0040359F" w:rsidRDefault="00000000">
      <w:pPr>
        <w:spacing w:after="150"/>
      </w:pPr>
      <w:r>
        <w:t xml:space="preserve">Bubble size min/max scaling; map style/theme; category labels toggle; </w:t>
      </w:r>
      <w:proofErr w:type="spellStart"/>
      <w:r>
        <w:t>color</w:t>
      </w:r>
      <w:proofErr w:type="spellEnd"/>
      <w:r>
        <w:t xml:space="preserve"> saturation settings for filled/choropleth maps (min/</w:t>
      </w:r>
      <w:proofErr w:type="spellStart"/>
      <w:r>
        <w:t>center</w:t>
      </w:r>
      <w:proofErr w:type="spellEnd"/>
      <w:r>
        <w:t xml:space="preserve">/max </w:t>
      </w:r>
      <w:proofErr w:type="spellStart"/>
      <w:r>
        <w:t>color</w:t>
      </w:r>
      <w:proofErr w:type="spellEnd"/>
      <w:r>
        <w:t xml:space="preserve"> stops).</w:t>
      </w:r>
    </w:p>
    <w:p w14:paraId="32412058" w14:textId="77777777" w:rsidR="00C819E4" w:rsidRDefault="00C819E4">
      <w:pPr>
        <w:spacing w:after="150"/>
      </w:pPr>
    </w:p>
    <w:p w14:paraId="28A25F8E" w14:textId="77777777" w:rsidR="00C819E4" w:rsidRDefault="00C819E4">
      <w:pPr>
        <w:spacing w:after="150"/>
      </w:pPr>
    </w:p>
    <w:p w14:paraId="4C08130E" w14:textId="77777777" w:rsidR="00C819E4" w:rsidRDefault="00C819E4">
      <w:pPr>
        <w:spacing w:after="150"/>
      </w:pPr>
    </w:p>
    <w:p w14:paraId="2F074824" w14:textId="77777777" w:rsidR="00C819E4" w:rsidRDefault="00C819E4">
      <w:pPr>
        <w:spacing w:after="150"/>
      </w:pPr>
    </w:p>
    <w:p w14:paraId="1B17BD47" w14:textId="77777777" w:rsidR="00C819E4" w:rsidRDefault="00C819E4">
      <w:pPr>
        <w:spacing w:after="150"/>
      </w:pPr>
    </w:p>
    <w:p w14:paraId="10676524" w14:textId="77777777" w:rsidR="00C819E4" w:rsidRDefault="00C819E4">
      <w:pPr>
        <w:spacing w:after="150"/>
      </w:pPr>
    </w:p>
    <w:p w14:paraId="414DDAAB" w14:textId="77777777" w:rsidR="00C819E4" w:rsidRDefault="00C819E4">
      <w:pPr>
        <w:spacing w:after="150"/>
      </w:pPr>
    </w:p>
    <w:p w14:paraId="16266F43" w14:textId="77777777" w:rsidR="0040359F" w:rsidRDefault="00000000">
      <w:pPr>
        <w:pStyle w:val="Heading1"/>
      </w:pPr>
      <w:bookmarkStart w:id="53" w:name="_Toc236395491"/>
      <w:r>
        <w:t xml:space="preserve">Part 9: Measuring Performance Using </w:t>
      </w:r>
      <w:proofErr w:type="spellStart"/>
      <w:r>
        <w:t>KPIs</w:t>
      </w:r>
      <w:proofErr w:type="spellEnd"/>
      <w:r>
        <w:t>, Gauges, and Cards</w:t>
      </w:r>
      <w:bookmarkEnd w:id="53"/>
    </w:p>
    <w:p w14:paraId="5B8725A5" w14:textId="77777777" w:rsidR="0040359F" w:rsidRDefault="00000000">
      <w:pPr>
        <w:pStyle w:val="Heading2"/>
      </w:pPr>
      <w:bookmarkStart w:id="54" w:name="_Toc236395492"/>
      <w:r>
        <w:t>9.1 Card Visual (Single Value / New Card)</w:t>
      </w:r>
      <w:bookmarkEnd w:id="54"/>
    </w:p>
    <w:p w14:paraId="6ABC0FA5" w14:textId="77777777" w:rsidR="0040359F" w:rsidRDefault="00000000">
      <w:pPr>
        <w:spacing w:after="150"/>
      </w:pPr>
      <w:r>
        <w:t xml:space="preserve">Displays a single aggregated value prominently, often with a label. The newer </w:t>
      </w:r>
      <w:r>
        <w:rPr>
          <w:b/>
          <w:bCs/>
        </w:rPr>
        <w:t>"Card" (new)</w:t>
      </w:r>
      <w:r>
        <w:t xml:space="preserve"> visual supports adding a </w:t>
      </w:r>
      <w:r>
        <w:rPr>
          <w:b/>
          <w:bCs/>
        </w:rPr>
        <w:t>Trend line</w:t>
      </w:r>
      <w:r>
        <w:t xml:space="preserve">, </w:t>
      </w:r>
      <w:r>
        <w:rPr>
          <w:b/>
          <w:bCs/>
        </w:rPr>
        <w:t>Reference labels</w:t>
      </w:r>
      <w:r>
        <w:t xml:space="preserve"> (e.g., "vs. Target," "vs. Prior Period" — a small value plus percentage change and a </w:t>
      </w:r>
      <w:proofErr w:type="spellStart"/>
      <w:r>
        <w:t>colored</w:t>
      </w:r>
      <w:proofErr w:type="spellEnd"/>
      <w:r>
        <w:t xml:space="preserve"> indicator arrow), and richer typography/layout control than the legacy card.</w:t>
      </w:r>
    </w:p>
    <w:p w14:paraId="4BB10B93" w14:textId="77777777" w:rsidR="0040359F" w:rsidRDefault="00000000">
      <w:pPr>
        <w:pStyle w:val="Heading2"/>
      </w:pPr>
      <w:bookmarkStart w:id="55" w:name="_Toc236395493"/>
      <w:r>
        <w:t>9.2 Multi-row Card</w:t>
      </w:r>
      <w:bookmarkEnd w:id="55"/>
    </w:p>
    <w:p w14:paraId="6215F00D" w14:textId="77777777" w:rsidR="0040359F" w:rsidRDefault="00000000">
      <w:pPr>
        <w:spacing w:after="150"/>
      </w:pPr>
      <w:r>
        <w:t>Displays several fields as a repeated small "card" per row of the underlying table — used for showing a compact list of a few key numeric attributes per category without building a full table.</w:t>
      </w:r>
    </w:p>
    <w:p w14:paraId="7EA700E7" w14:textId="77777777" w:rsidR="0040359F" w:rsidRDefault="00000000">
      <w:pPr>
        <w:pStyle w:val="Heading2"/>
      </w:pPr>
      <w:bookmarkStart w:id="56" w:name="_Toc236395494"/>
      <w:r>
        <w:t>9.3 KPI Visual</w:t>
      </w:r>
      <w:bookmarkEnd w:id="56"/>
    </w:p>
    <w:p w14:paraId="67DAAA7B" w14:textId="77777777" w:rsidR="0040359F" w:rsidRDefault="00000000">
      <w:pPr>
        <w:spacing w:after="150"/>
      </w:pPr>
      <w:r>
        <w:t xml:space="preserve">A </w:t>
      </w:r>
      <w:r>
        <w:rPr>
          <w:b/>
          <w:bCs/>
        </w:rPr>
        <w:t>KPI (Key Performance Indicator)</w:t>
      </w:r>
      <w:r>
        <w:t xml:space="preserve"> visual compares an </w:t>
      </w:r>
      <w:r>
        <w:rPr>
          <w:b/>
          <w:bCs/>
        </w:rPr>
        <w:t>Indicator</w:t>
      </w:r>
      <w:r>
        <w:t xml:space="preserve"> (the actual value, typically a trending measure) against a </w:t>
      </w:r>
      <w:r>
        <w:rPr>
          <w:b/>
          <w:bCs/>
        </w:rPr>
        <w:t>Target</w:t>
      </w:r>
      <w:r>
        <w:t xml:space="preserve"> (goal) value, and shows the current value, a small trend sparkline (using a Trend axis field, typically date), and a goal/target comparison with a </w:t>
      </w:r>
      <w:proofErr w:type="spellStart"/>
      <w:r>
        <w:t>colored</w:t>
      </w:r>
      <w:proofErr w:type="spellEnd"/>
      <w:r>
        <w:t xml:space="preserve"> status icon. Configuration includes </w:t>
      </w:r>
      <w:r>
        <w:rPr>
          <w:b/>
          <w:bCs/>
        </w:rPr>
        <w:t>Target settings</w:t>
      </w:r>
      <w:r>
        <w:t xml:space="preserve"> (direction — is "higher than target" good or bad, thresholds for good/bad status) and trend axis formatting.</w:t>
      </w:r>
    </w:p>
    <w:p w14:paraId="4ACB2798" w14:textId="77777777" w:rsidR="0040359F" w:rsidRDefault="00000000">
      <w:pPr>
        <w:pStyle w:val="Heading2"/>
      </w:pPr>
      <w:bookmarkStart w:id="57" w:name="_Toc236395495"/>
      <w:r>
        <w:t>9.4 Gauge Visual</w:t>
      </w:r>
      <w:bookmarkEnd w:id="57"/>
    </w:p>
    <w:p w14:paraId="6EBAD62C" w14:textId="77777777" w:rsidR="0040359F" w:rsidRDefault="00000000">
      <w:pPr>
        <w:spacing w:after="150"/>
      </w:pPr>
      <w:r>
        <w:t xml:space="preserve">A </w:t>
      </w:r>
      <w:r>
        <w:rPr>
          <w:b/>
          <w:bCs/>
        </w:rPr>
        <w:t>Gauge chart</w:t>
      </w:r>
      <w:r>
        <w:t xml:space="preserve"> shows a single value on a radial (semi-circular arc) scale between a </w:t>
      </w:r>
      <w:r>
        <w:rPr>
          <w:b/>
          <w:bCs/>
        </w:rPr>
        <w:t>Minimum</w:t>
      </w:r>
      <w:r>
        <w:t xml:space="preserve"> and </w:t>
      </w:r>
      <w:r>
        <w:rPr>
          <w:b/>
          <w:bCs/>
        </w:rPr>
        <w:t>Maximum</w:t>
      </w:r>
      <w:r>
        <w:t xml:space="preserve">, with a </w:t>
      </w:r>
      <w:r>
        <w:rPr>
          <w:b/>
          <w:bCs/>
        </w:rPr>
        <w:t>Target</w:t>
      </w:r>
      <w:r>
        <w:t xml:space="preserve"> value marked as a line/tick on the arc, and the arc fill representing progress toward the current value.</w:t>
      </w:r>
    </w:p>
    <w:p w14:paraId="10B73BAA" w14:textId="77777777" w:rsidR="0040359F" w:rsidRDefault="00000000">
      <w:pPr>
        <w:spacing w:after="150"/>
      </w:pPr>
      <w:r>
        <w:rPr>
          <w:b/>
          <w:bCs/>
        </w:rPr>
        <w:t>Use case</w:t>
      </w:r>
      <w:r>
        <w:t>: Displaying quota attainment (e.g., current sales = 72% of the way around the arc toward a maximum = annual target, with a target-line marking a stretch goal).</w:t>
      </w:r>
    </w:p>
    <w:p w14:paraId="6078AEF7" w14:textId="77777777" w:rsidR="0040359F" w:rsidRDefault="00000000">
      <w:pPr>
        <w:pStyle w:val="Heading2"/>
      </w:pPr>
      <w:bookmarkStart w:id="58" w:name="_Toc236395496"/>
      <w:r>
        <w:t xml:space="preserve">9.5 Choosing Between KPI, Gauge, and </w:t>
      </w:r>
      <w:proofErr w:type="spellStart"/>
      <w:r>
        <w:t>Card+Reference</w:t>
      </w:r>
      <w:proofErr w:type="spellEnd"/>
      <w:r>
        <w:t xml:space="preserve"> Label</w:t>
      </w:r>
      <w:bookmarkEnd w:id="58"/>
    </w:p>
    <w:p w14:paraId="10DD1B24" w14:textId="77777777" w:rsidR="0040359F" w:rsidRDefault="00000000">
      <w:pPr>
        <w:spacing w:after="150"/>
      </w:pPr>
      <w:r>
        <w:t xml:space="preserve">Use a </w:t>
      </w:r>
      <w:r>
        <w:rPr>
          <w:b/>
          <w:bCs/>
        </w:rPr>
        <w:t>KPI visual</w:t>
      </w:r>
      <w:r>
        <w:t xml:space="preserve"> when the trend over time matters as much as the current status. Use a </w:t>
      </w:r>
      <w:r>
        <w:rPr>
          <w:b/>
          <w:bCs/>
        </w:rPr>
        <w:t>Gauge</w:t>
      </w:r>
      <w:r>
        <w:t xml:space="preserve"> when you want an intuitive "how full is the tank" progress-toward-a-goal visualization without needing a time trend. Use a </w:t>
      </w:r>
      <w:r>
        <w:rPr>
          <w:b/>
          <w:bCs/>
        </w:rPr>
        <w:t>Card with a reference label</w:t>
      </w:r>
      <w:r>
        <w:t xml:space="preserve"> when you primarily want a big, clean number with a small comparison callout.</w:t>
      </w:r>
    </w:p>
    <w:p w14:paraId="571782DC" w14:textId="77777777" w:rsidR="00C819E4" w:rsidRDefault="00C819E4">
      <w:pPr>
        <w:spacing w:after="150"/>
      </w:pPr>
    </w:p>
    <w:p w14:paraId="0D66ECA7" w14:textId="77777777" w:rsidR="0040359F" w:rsidRDefault="00000000">
      <w:pPr>
        <w:pStyle w:val="Heading1"/>
      </w:pPr>
      <w:bookmarkStart w:id="59" w:name="_Toc236395497"/>
      <w:r>
        <w:lastRenderedPageBreak/>
        <w:t>Part 10: Quick Measures, Error Bars, Reference Lines, and Forecasting (Analytics Pane)</w:t>
      </w:r>
      <w:bookmarkEnd w:id="59"/>
    </w:p>
    <w:p w14:paraId="40917B77" w14:textId="77777777" w:rsidR="0040359F" w:rsidRDefault="00000000">
      <w:pPr>
        <w:pStyle w:val="Heading2"/>
      </w:pPr>
      <w:bookmarkStart w:id="60" w:name="_Toc236395498"/>
      <w:r>
        <w:t>10.1 Quick Measures</w:t>
      </w:r>
      <w:bookmarkEnd w:id="60"/>
    </w:p>
    <w:p w14:paraId="283A51EF" w14:textId="77777777" w:rsidR="0040359F" w:rsidRDefault="00000000">
      <w:pPr>
        <w:spacing w:after="150"/>
      </w:pPr>
      <w:r>
        <w:rPr>
          <w:b/>
          <w:bCs/>
        </w:rPr>
        <w:t>Quick measures</w:t>
      </w:r>
      <w:r>
        <w:t xml:space="preserve"> are a UI-driven way to generate common DAX calculations without writing DAX manually. Accessed via right-click on a field/table in the Fields pane → "New quick measure," or the "Quick measure" button on the Calculations ribbon group. Categories include:</w:t>
      </w:r>
    </w:p>
    <w:p w14:paraId="6065FF29" w14:textId="77777777" w:rsidR="0040359F" w:rsidRDefault="00000000">
      <w:pPr>
        <w:pStyle w:val="ListParagraph"/>
        <w:numPr>
          <w:ilvl w:val="0"/>
          <w:numId w:val="1"/>
        </w:numPr>
        <w:spacing w:after="60"/>
      </w:pPr>
      <w:r>
        <w:rPr>
          <w:b/>
          <w:bCs/>
        </w:rPr>
        <w:t>Aggregate per category</w:t>
      </w:r>
      <w:r>
        <w:t xml:space="preserve"> (average/median/variance/etc. per category).</w:t>
      </w:r>
    </w:p>
    <w:p w14:paraId="43FAB0B8" w14:textId="77777777" w:rsidR="0040359F" w:rsidRDefault="00000000">
      <w:pPr>
        <w:pStyle w:val="ListParagraph"/>
        <w:numPr>
          <w:ilvl w:val="0"/>
          <w:numId w:val="1"/>
        </w:numPr>
        <w:spacing w:after="60"/>
      </w:pPr>
      <w:r>
        <w:rPr>
          <w:b/>
          <w:bCs/>
        </w:rPr>
        <w:t>Filters</w:t>
      </w:r>
      <w:r>
        <w:t xml:space="preserve"> (filtered value, e.g., "Sales for [Category] = X").</w:t>
      </w:r>
    </w:p>
    <w:p w14:paraId="035A611C" w14:textId="77777777" w:rsidR="0040359F" w:rsidRDefault="00000000">
      <w:pPr>
        <w:pStyle w:val="ListParagraph"/>
        <w:numPr>
          <w:ilvl w:val="0"/>
          <w:numId w:val="1"/>
        </w:numPr>
        <w:spacing w:after="60"/>
      </w:pPr>
      <w:r>
        <w:rPr>
          <w:b/>
          <w:bCs/>
        </w:rPr>
        <w:t>Time intelligence</w:t>
      </w:r>
      <w:r>
        <w:t>: Year-over-year change, running total, period-over-period change — auto-generates the underlying DAX (often using `CALCULATE`, `SAMEPERIODLASTYEAR`, `DATEADD`, etc.).</w:t>
      </w:r>
    </w:p>
    <w:p w14:paraId="3D4C0F9E" w14:textId="77777777" w:rsidR="0040359F" w:rsidRDefault="00000000">
      <w:pPr>
        <w:pStyle w:val="ListParagraph"/>
        <w:numPr>
          <w:ilvl w:val="0"/>
          <w:numId w:val="1"/>
        </w:numPr>
        <w:spacing w:after="60"/>
      </w:pPr>
      <w:r>
        <w:rPr>
          <w:b/>
          <w:bCs/>
        </w:rPr>
        <w:t>Totals</w:t>
      </w:r>
      <w:r>
        <w:t>: Percent of grand total.</w:t>
      </w:r>
    </w:p>
    <w:p w14:paraId="29FFECD4" w14:textId="77777777" w:rsidR="0040359F" w:rsidRDefault="00000000">
      <w:pPr>
        <w:pStyle w:val="ListParagraph"/>
        <w:numPr>
          <w:ilvl w:val="0"/>
          <w:numId w:val="1"/>
        </w:numPr>
        <w:spacing w:after="60"/>
      </w:pPr>
      <w:r>
        <w:rPr>
          <w:b/>
          <w:bCs/>
        </w:rPr>
        <w:t>Mathematical operations</w:t>
      </w:r>
      <w:r>
        <w:t>: Addition, subtraction, multiplication, division, percentage difference between two measures.</w:t>
      </w:r>
    </w:p>
    <w:p w14:paraId="5A2D3EFB" w14:textId="77777777" w:rsidR="0040359F" w:rsidRDefault="00000000">
      <w:pPr>
        <w:spacing w:after="150"/>
      </w:pPr>
      <w:r>
        <w:t xml:space="preserve">Once created, a quick measure becomes a </w:t>
      </w:r>
      <w:r>
        <w:rPr>
          <w:b/>
          <w:bCs/>
        </w:rPr>
        <w:t>regular measure</w:t>
      </w:r>
      <w:r>
        <w:t xml:space="preserve"> in the Fields pane whose DAX formula can be inspected and further edited — directly testable ("what quick measure would generate this DAX pattern").</w:t>
      </w:r>
    </w:p>
    <w:p w14:paraId="14D60558" w14:textId="77777777" w:rsidR="0040359F" w:rsidRDefault="00000000">
      <w:pPr>
        <w:pStyle w:val="Heading2"/>
      </w:pPr>
      <w:bookmarkStart w:id="61" w:name="_Toc236395499"/>
      <w:r>
        <w:t>10.2 The Analytics Pane</w:t>
      </w:r>
      <w:bookmarkEnd w:id="61"/>
    </w:p>
    <w:p w14:paraId="7197B27E" w14:textId="77777777" w:rsidR="0040359F" w:rsidRDefault="00000000">
      <w:pPr>
        <w:spacing w:after="150"/>
      </w:pPr>
      <w:r>
        <w:t xml:space="preserve">Selecting a Cartesian visual (line, bar, column, scatter, combo) reveals an </w:t>
      </w:r>
      <w:r>
        <w:rPr>
          <w:b/>
          <w:bCs/>
        </w:rPr>
        <w:t>Analytics pane</w:t>
      </w:r>
      <w:r>
        <w:t xml:space="preserve"> offering overlay lines independent of the underlying data model:</w:t>
      </w:r>
    </w:p>
    <w:p w14:paraId="63A78E72" w14:textId="77777777" w:rsidR="0040359F" w:rsidRDefault="00000000">
      <w:pPr>
        <w:pStyle w:val="ListParagraph"/>
        <w:numPr>
          <w:ilvl w:val="0"/>
          <w:numId w:val="1"/>
        </w:numPr>
        <w:spacing w:after="60"/>
      </w:pPr>
      <w:r>
        <w:rPr>
          <w:b/>
          <w:bCs/>
        </w:rPr>
        <w:t>Trend line</w:t>
      </w:r>
      <w:r>
        <w:t>: Adds a linear (or exponential, for some visuals) regression trend line through the data points.</w:t>
      </w:r>
    </w:p>
    <w:p w14:paraId="2E10A33A" w14:textId="77777777" w:rsidR="0040359F" w:rsidRDefault="00000000">
      <w:pPr>
        <w:pStyle w:val="ListParagraph"/>
        <w:numPr>
          <w:ilvl w:val="0"/>
          <w:numId w:val="1"/>
        </w:numPr>
        <w:spacing w:after="60"/>
      </w:pPr>
      <w:r>
        <w:rPr>
          <w:b/>
          <w:bCs/>
        </w:rPr>
        <w:t>Constant line</w:t>
      </w:r>
      <w:r>
        <w:t>: A fixed horizontal (or vertical, for some chart types) line at a specified value, or bound to a measure.</w:t>
      </w:r>
    </w:p>
    <w:p w14:paraId="4F52AC8E" w14:textId="77777777" w:rsidR="0040359F" w:rsidRDefault="00000000">
      <w:pPr>
        <w:pStyle w:val="ListParagraph"/>
        <w:numPr>
          <w:ilvl w:val="0"/>
          <w:numId w:val="1"/>
        </w:numPr>
        <w:spacing w:after="60"/>
      </w:pPr>
      <w:r>
        <w:rPr>
          <w:b/>
          <w:bCs/>
        </w:rPr>
        <w:t>Min/Max/Average/Median line</w:t>
      </w:r>
      <w:r>
        <w:t>: Auto-calculated reference lines based on the data currently in the visual.</w:t>
      </w:r>
    </w:p>
    <w:p w14:paraId="31B29E2D" w14:textId="77777777" w:rsidR="0040359F" w:rsidRDefault="00000000">
      <w:pPr>
        <w:pStyle w:val="ListParagraph"/>
        <w:numPr>
          <w:ilvl w:val="0"/>
          <w:numId w:val="1"/>
        </w:numPr>
        <w:spacing w:after="60"/>
      </w:pPr>
      <w:r>
        <w:rPr>
          <w:b/>
          <w:bCs/>
        </w:rPr>
        <w:t>Percentile line</w:t>
      </w:r>
      <w:r>
        <w:t>: Draws a line at a specified percentile of the data.</w:t>
      </w:r>
    </w:p>
    <w:p w14:paraId="2C6AEEFA" w14:textId="77777777" w:rsidR="0040359F" w:rsidRDefault="00000000">
      <w:pPr>
        <w:pStyle w:val="ListParagraph"/>
        <w:numPr>
          <w:ilvl w:val="0"/>
          <w:numId w:val="1"/>
        </w:numPr>
        <w:spacing w:after="60"/>
      </w:pPr>
      <w:r>
        <w:rPr>
          <w:b/>
          <w:bCs/>
        </w:rPr>
        <w:t>Error bars</w:t>
      </w:r>
      <w:r>
        <w:t xml:space="preserve">: Available on column/bar/scatter charts — displays a range above/below (or around, for scatter) each data point representing uncertainty, standard deviation, standard error, confidence interval, or a fixed/custom value/measure-driven range. Requires specifying an </w:t>
      </w:r>
      <w:r>
        <w:rPr>
          <w:b/>
          <w:bCs/>
        </w:rPr>
        <w:t>Upper bound</w:t>
      </w:r>
      <w:r>
        <w:t xml:space="preserve"> and </w:t>
      </w:r>
      <w:r>
        <w:rPr>
          <w:b/>
          <w:bCs/>
        </w:rPr>
        <w:t>Lower bound</w:t>
      </w:r>
      <w:r>
        <w:t xml:space="preserve"> (fixed value, percentage, or measure).</w:t>
      </w:r>
    </w:p>
    <w:p w14:paraId="1D5EC35D" w14:textId="77777777" w:rsidR="0040359F" w:rsidRDefault="00000000">
      <w:pPr>
        <w:pStyle w:val="ListParagraph"/>
        <w:numPr>
          <w:ilvl w:val="0"/>
          <w:numId w:val="1"/>
        </w:numPr>
        <w:spacing w:after="60"/>
      </w:pPr>
      <w:r>
        <w:rPr>
          <w:b/>
          <w:bCs/>
        </w:rPr>
        <w:t>Forecast</w:t>
      </w:r>
      <w:r>
        <w:t xml:space="preserve">: Available on line charts with a date-based axis — projects future values using an exponential smoothing algorithm, with configurable </w:t>
      </w:r>
      <w:r>
        <w:rPr>
          <w:b/>
          <w:bCs/>
        </w:rPr>
        <w:t>Forecast length</w:t>
      </w:r>
      <w:r>
        <w:t xml:space="preserve">, </w:t>
      </w:r>
      <w:r>
        <w:rPr>
          <w:b/>
          <w:bCs/>
        </w:rPr>
        <w:t>Confidence interval (%)</w:t>
      </w:r>
      <w:r>
        <w:t xml:space="preserve">, and </w:t>
      </w:r>
      <w:r>
        <w:rPr>
          <w:b/>
          <w:bCs/>
        </w:rPr>
        <w:t>Seasonality</w:t>
      </w:r>
      <w:r>
        <w:t xml:space="preserve"> (auto-detected or manually specified point count).</w:t>
      </w:r>
    </w:p>
    <w:p w14:paraId="577998C1" w14:textId="77777777" w:rsidR="0040359F" w:rsidRDefault="00000000">
      <w:pPr>
        <w:spacing w:after="150"/>
      </w:pPr>
      <w:r>
        <w:rPr>
          <w:b/>
          <w:bCs/>
        </w:rPr>
        <w:t>Case study — Error bars</w:t>
      </w:r>
      <w:r>
        <w:t>: A survey-results column chart where each bar shows average satisfaction score; error bars are configured with Upper/Lower Bound Type = "Standard deviation" to visually communicate response variability alongside the mean.</w:t>
      </w:r>
    </w:p>
    <w:p w14:paraId="6EE61960" w14:textId="77777777" w:rsidR="0040359F" w:rsidRDefault="00000000">
      <w:pPr>
        <w:spacing w:after="150"/>
      </w:pPr>
      <w:r>
        <w:rPr>
          <w:b/>
          <w:bCs/>
        </w:rPr>
        <w:t>Case study — Forecasting</w:t>
      </w:r>
      <w:r>
        <w:t>: A monthly revenue line chart projects the next 6 months using the Forecast analytics feature, with a 95% confidence interval shading the plausible range — testing knowledge that forecasting requires a continuous date axis and works via exponential smoothing.</w:t>
      </w:r>
    </w:p>
    <w:p w14:paraId="379A320C" w14:textId="77777777" w:rsidR="00C819E4" w:rsidRDefault="00C819E4">
      <w:pPr>
        <w:spacing w:after="150"/>
      </w:pPr>
    </w:p>
    <w:p w14:paraId="0C685BFC" w14:textId="77777777" w:rsidR="0040359F" w:rsidRDefault="00000000">
      <w:pPr>
        <w:pStyle w:val="Heading1"/>
      </w:pPr>
      <w:bookmarkStart w:id="62" w:name="_Toc236395500"/>
      <w:r>
        <w:lastRenderedPageBreak/>
        <w:t>Part 11: Identification of Outliers, Clusters, Anomaly Detection, and (Smart) Narrative</w:t>
      </w:r>
      <w:bookmarkEnd w:id="62"/>
    </w:p>
    <w:p w14:paraId="1A9D7970" w14:textId="77777777" w:rsidR="0040359F" w:rsidRDefault="00000000">
      <w:pPr>
        <w:pStyle w:val="Heading2"/>
      </w:pPr>
      <w:bookmarkStart w:id="63" w:name="_Toc236395501"/>
      <w:r>
        <w:t>11.1 Outliers</w:t>
      </w:r>
      <w:bookmarkEnd w:id="63"/>
    </w:p>
    <w:p w14:paraId="26487B95" w14:textId="77777777" w:rsidR="0040359F" w:rsidRDefault="00000000">
      <w:pPr>
        <w:spacing w:after="150"/>
      </w:pPr>
      <w:r>
        <w:t>Power BI can highlight statistical outliers in scatter charts: right-click a data point → "Find where this distribution differs," using clustering-adjacent statistical logic to flag points far from the main distribution.</w:t>
      </w:r>
    </w:p>
    <w:p w14:paraId="45B9B7F4" w14:textId="77777777" w:rsidR="0040359F" w:rsidRDefault="00000000">
      <w:pPr>
        <w:pStyle w:val="Heading2"/>
      </w:pPr>
      <w:bookmarkStart w:id="64" w:name="_Toc236395502"/>
      <w:r>
        <w:t>11.2 Clustering</w:t>
      </w:r>
      <w:bookmarkEnd w:id="64"/>
    </w:p>
    <w:p w14:paraId="00D2E7A8" w14:textId="77777777" w:rsidR="0040359F" w:rsidRDefault="00000000">
      <w:pPr>
        <w:spacing w:after="150"/>
      </w:pPr>
      <w:r>
        <w:t xml:space="preserve">Right-clicking a data point in a </w:t>
      </w:r>
      <w:r>
        <w:rPr>
          <w:b/>
          <w:bCs/>
        </w:rPr>
        <w:t>scatter chart</w:t>
      </w:r>
      <w:r>
        <w:t xml:space="preserve"> (or selecting multiple points) and choosing </w:t>
      </w:r>
      <w:r>
        <w:rPr>
          <w:b/>
          <w:bCs/>
        </w:rPr>
        <w:t>"Automatically find clusters"</w:t>
      </w:r>
      <w:r>
        <w:t xml:space="preserve"> runs a k-means-style clustering algorithm on the two plotted measures, grouping data points into a Power BI–suggested number of clusters (or a manually specified number), and creates a </w:t>
      </w:r>
      <w:r>
        <w:rPr>
          <w:b/>
          <w:bCs/>
        </w:rPr>
        <w:t>new column in the model</w:t>
      </w:r>
      <w:r>
        <w:t xml:space="preserve"> capturing cluster membership, which can then be used as a legend/filter elsewhere in the report.</w:t>
      </w:r>
    </w:p>
    <w:p w14:paraId="360DCD9B" w14:textId="77777777" w:rsidR="0040359F" w:rsidRDefault="00000000">
      <w:pPr>
        <w:spacing w:after="150"/>
      </w:pPr>
      <w:r>
        <w:rPr>
          <w:b/>
          <w:bCs/>
        </w:rPr>
        <w:t>Use case</w:t>
      </w:r>
      <w:r>
        <w:t xml:space="preserve">: Clustering customers by (Recency, Frequency) or (Spend, Visit Count) into </w:t>
      </w:r>
      <w:proofErr w:type="spellStart"/>
      <w:r>
        <w:t>behavioral</w:t>
      </w:r>
      <w:proofErr w:type="spellEnd"/>
      <w:r>
        <w:t xml:space="preserve"> segments without manually writing segmentation logic.</w:t>
      </w:r>
    </w:p>
    <w:p w14:paraId="4A958847" w14:textId="77777777" w:rsidR="0040359F" w:rsidRDefault="00000000">
      <w:pPr>
        <w:pStyle w:val="Heading2"/>
      </w:pPr>
      <w:bookmarkStart w:id="65" w:name="_Toc236395503"/>
      <w:r>
        <w:t>11.3 Anomaly Detection</w:t>
      </w:r>
      <w:bookmarkEnd w:id="65"/>
    </w:p>
    <w:p w14:paraId="6599F058" w14:textId="77777777" w:rsidR="0040359F" w:rsidRDefault="00000000">
      <w:pPr>
        <w:spacing w:after="150"/>
      </w:pPr>
      <w:r>
        <w:t xml:space="preserve">Available on </w:t>
      </w:r>
      <w:r>
        <w:rPr>
          <w:b/>
          <w:bCs/>
        </w:rPr>
        <w:t>line charts</w:t>
      </w:r>
      <w:r>
        <w:t xml:space="preserve"> with a continuous date axis (via the Analytics pane → Anomalies), Power BI's anomaly detection automatically identifies data points that deviate significantly from expected patterns (based on time series decomposition), marking them on the chart. Clicking a flagged anomaly opens an explanation pane that can suggest </w:t>
      </w:r>
      <w:r>
        <w:rPr>
          <w:b/>
          <w:bCs/>
        </w:rPr>
        <w:t>possible explanatory fields</w:t>
      </w:r>
      <w:r>
        <w:t xml:space="preserve"> from the dataset that correlate with the spike/dip. Sensitivity is adjustable via a slider.</w:t>
      </w:r>
    </w:p>
    <w:p w14:paraId="5DA65707" w14:textId="77777777" w:rsidR="0040359F" w:rsidRDefault="00000000">
      <w:pPr>
        <w:spacing w:after="150"/>
      </w:pPr>
      <w:r>
        <w:rPr>
          <w:b/>
          <w:bCs/>
        </w:rPr>
        <w:t>Case study</w:t>
      </w:r>
      <w:r>
        <w:t>: A daily website-visits line chart flags an unexpected spike; clicking it surfaces that "Marketing Campaign = Black Friday" correlates strongly with that date, giving an automated root-cause hint.</w:t>
      </w:r>
    </w:p>
    <w:p w14:paraId="5165996F" w14:textId="77777777" w:rsidR="0040359F" w:rsidRDefault="00000000">
      <w:pPr>
        <w:pStyle w:val="Heading2"/>
      </w:pPr>
      <w:bookmarkStart w:id="66" w:name="_Toc236395504"/>
      <w:r>
        <w:t>11.4 Smart Narrative</w:t>
      </w:r>
      <w:bookmarkEnd w:id="66"/>
    </w:p>
    <w:p w14:paraId="41BC14C3" w14:textId="77777777" w:rsidR="0040359F" w:rsidRDefault="00000000">
      <w:pPr>
        <w:spacing w:after="150"/>
      </w:pPr>
      <w:r>
        <w:t xml:space="preserve">The </w:t>
      </w:r>
      <w:r>
        <w:rPr>
          <w:b/>
          <w:bCs/>
        </w:rPr>
        <w:t>Smart narrative</w:t>
      </w:r>
      <w:r>
        <w:t xml:space="preserve"> visual auto-generates a natural-language text summary of the data in a report page (or of a specific visual), dynamically updating the wording and values as filters change.</w:t>
      </w:r>
    </w:p>
    <w:p w14:paraId="677543B8" w14:textId="77777777" w:rsidR="0040359F" w:rsidRDefault="00000000">
      <w:pPr>
        <w:pStyle w:val="ListParagraph"/>
        <w:numPr>
          <w:ilvl w:val="0"/>
          <w:numId w:val="1"/>
        </w:numPr>
        <w:spacing w:after="60"/>
      </w:pPr>
      <w:r>
        <w:t xml:space="preserve">Generated narratives can be edited: individual auto-generated values can be swapped for dynamic </w:t>
      </w:r>
      <w:r>
        <w:rPr>
          <w:b/>
          <w:bCs/>
        </w:rPr>
        <w:t>fields/measures</w:t>
      </w:r>
      <w:r>
        <w:t xml:space="preserve"> (inserted via the "Insert" data icon within the narrative's text-editing box) so the narrative sentence keeps updating live rather than being static text.</w:t>
      </w:r>
    </w:p>
    <w:p w14:paraId="18B3E39B" w14:textId="77777777" w:rsidR="0040359F" w:rsidRDefault="00000000">
      <w:pPr>
        <w:pStyle w:val="ListParagraph"/>
        <w:numPr>
          <w:ilvl w:val="0"/>
          <w:numId w:val="1"/>
        </w:numPr>
        <w:spacing w:after="60"/>
      </w:pPr>
      <w:r>
        <w:t>Useful for executive summaries at the top of a dashboard page, auto-describing top performer, trend direction, and totals in plain English.</w:t>
      </w:r>
    </w:p>
    <w:p w14:paraId="482F6B27" w14:textId="77777777" w:rsidR="0040359F" w:rsidRDefault="00000000">
      <w:pPr>
        <w:spacing w:after="150"/>
      </w:pPr>
      <w:r>
        <w:rPr>
          <w:b/>
          <w:bCs/>
        </w:rPr>
        <w:t>Exam distinction</w:t>
      </w:r>
      <w:r>
        <w:t>: Smart Narrative ≠ Q&amp;A visual. Smart Narrative produces a persistent, always-visible auto-generated summary; Q&amp;A is an interactive natural-language *query* box where the user types a question and gets a dynamically generated visual answer.</w:t>
      </w:r>
    </w:p>
    <w:p w14:paraId="3021410A" w14:textId="77777777" w:rsidR="00C819E4" w:rsidRDefault="00C819E4">
      <w:pPr>
        <w:spacing w:after="150"/>
      </w:pPr>
    </w:p>
    <w:p w14:paraId="2E1AE4F1" w14:textId="77777777" w:rsidR="00C819E4" w:rsidRDefault="00C819E4">
      <w:pPr>
        <w:spacing w:after="150"/>
      </w:pPr>
    </w:p>
    <w:p w14:paraId="36E13E09" w14:textId="77777777" w:rsidR="00C819E4" w:rsidRDefault="00C819E4">
      <w:pPr>
        <w:spacing w:after="150"/>
      </w:pPr>
    </w:p>
    <w:p w14:paraId="1014C922" w14:textId="77777777" w:rsidR="00C819E4" w:rsidRDefault="00C819E4">
      <w:pPr>
        <w:spacing w:after="150"/>
      </w:pPr>
    </w:p>
    <w:p w14:paraId="6170A9F6" w14:textId="77777777" w:rsidR="00C819E4" w:rsidRDefault="00C819E4">
      <w:pPr>
        <w:spacing w:after="150"/>
      </w:pPr>
    </w:p>
    <w:p w14:paraId="5E2E99B2" w14:textId="77777777" w:rsidR="0040359F" w:rsidRDefault="00000000">
      <w:pPr>
        <w:pStyle w:val="Heading1"/>
      </w:pPr>
      <w:bookmarkStart w:id="67" w:name="_Toc236395505"/>
      <w:r>
        <w:lastRenderedPageBreak/>
        <w:t>Part 12: Paginated Reports in Power BI Report Builder</w:t>
      </w:r>
      <w:bookmarkEnd w:id="67"/>
    </w:p>
    <w:p w14:paraId="3CCB3C66" w14:textId="77777777" w:rsidR="0040359F" w:rsidRDefault="00000000">
      <w:pPr>
        <w:pStyle w:val="Heading2"/>
      </w:pPr>
      <w:bookmarkStart w:id="68" w:name="_Toc236395506"/>
      <w:r>
        <w:t>12.1 What Paginated Reports Are</w:t>
      </w:r>
      <w:bookmarkEnd w:id="68"/>
    </w:p>
    <w:p w14:paraId="6A035E45" w14:textId="2417E262" w:rsidR="0040359F" w:rsidRDefault="00000000" w:rsidP="00C819E4">
      <w:pPr>
        <w:spacing w:after="150"/>
      </w:pPr>
      <w:r>
        <w:rPr>
          <w:b/>
          <w:bCs/>
        </w:rPr>
        <w:t>Paginated reports</w:t>
      </w:r>
      <w:r>
        <w:t xml:space="preserve"> (built with the separate </w:t>
      </w:r>
      <w:r>
        <w:rPr>
          <w:b/>
          <w:bCs/>
        </w:rPr>
        <w:t>Power BI Report Builder</w:t>
      </w:r>
      <w:r>
        <w:t xml:space="preserve"> application, based on SQL Server Reporting Services/RDL technology) are designed for </w:t>
      </w:r>
      <w:r>
        <w:rPr>
          <w:b/>
          <w:bCs/>
        </w:rPr>
        <w:t>pixel-perfect, print-ready, and highly formatted</w:t>
      </w:r>
      <w:r>
        <w:t xml:space="preserve"> documents — invoices, statements, regulatory forms — as opposed to the free-flowing, interactive canvas of a standard Power BI report. They are called "paginated" because content flows properly across page boundaries for printing/PDF export.</w:t>
      </w:r>
    </w:p>
    <w:p w14:paraId="1E445E67" w14:textId="77777777" w:rsidR="0040359F" w:rsidRDefault="00000000">
      <w:pPr>
        <w:pStyle w:val="Heading2"/>
      </w:pPr>
      <w:bookmarkStart w:id="69" w:name="_Toc236395508"/>
      <w:r>
        <w:t>12.3 Building Blocks in Report Builder</w:t>
      </w:r>
      <w:bookmarkEnd w:id="69"/>
    </w:p>
    <w:p w14:paraId="3FE64705" w14:textId="77777777" w:rsidR="0040359F" w:rsidRDefault="00000000">
      <w:pPr>
        <w:pStyle w:val="ListParagraph"/>
        <w:numPr>
          <w:ilvl w:val="0"/>
          <w:numId w:val="1"/>
        </w:numPr>
        <w:spacing w:after="60"/>
      </w:pPr>
      <w:r>
        <w:rPr>
          <w:b/>
          <w:bCs/>
        </w:rPr>
        <w:t>Data sources &amp; datasets</w:t>
      </w:r>
      <w:r>
        <w:t>: Connect to a Power BI semantic model connection, a Power BI dataflow, or traditional sources (SQL Server, Analysis Services, OData, etc.).</w:t>
      </w:r>
    </w:p>
    <w:p w14:paraId="003F6E1A" w14:textId="77777777" w:rsidR="0040359F" w:rsidRDefault="00000000">
      <w:pPr>
        <w:pStyle w:val="ListParagraph"/>
        <w:numPr>
          <w:ilvl w:val="0"/>
          <w:numId w:val="1"/>
        </w:numPr>
        <w:spacing w:after="60"/>
      </w:pPr>
      <w:r>
        <w:rPr>
          <w:b/>
          <w:bCs/>
        </w:rPr>
        <w:t>Report items</w:t>
      </w:r>
      <w:r>
        <w:t xml:space="preserve">: Tables (Tablix — the core RDL data region supporting table, matrix, and list layouts combined), charts, gauges, maps, images, </w:t>
      </w:r>
      <w:proofErr w:type="spellStart"/>
      <w:r>
        <w:t>subreports</w:t>
      </w:r>
      <w:proofErr w:type="spellEnd"/>
      <w:r>
        <w:t>.</w:t>
      </w:r>
    </w:p>
    <w:p w14:paraId="1C6F8269" w14:textId="77777777" w:rsidR="0040359F" w:rsidRDefault="00000000">
      <w:pPr>
        <w:pStyle w:val="ListParagraph"/>
        <w:numPr>
          <w:ilvl w:val="0"/>
          <w:numId w:val="1"/>
        </w:numPr>
        <w:spacing w:after="60"/>
      </w:pPr>
      <w:r>
        <w:rPr>
          <w:b/>
          <w:bCs/>
        </w:rPr>
        <w:t>Tablix</w:t>
      </w:r>
      <w:r>
        <w:t>: The unified data-region control for tabular/matrix/list layouts, supporting grouping, sorting, and nested groups with expand/collapse.</w:t>
      </w:r>
    </w:p>
    <w:p w14:paraId="7CEABB00" w14:textId="77777777" w:rsidR="0040359F" w:rsidRDefault="00000000">
      <w:pPr>
        <w:pStyle w:val="ListParagraph"/>
        <w:numPr>
          <w:ilvl w:val="0"/>
          <w:numId w:val="1"/>
        </w:numPr>
        <w:spacing w:after="60"/>
      </w:pPr>
      <w:r>
        <w:rPr>
          <w:b/>
          <w:bCs/>
        </w:rPr>
        <w:t>Parameters</w:t>
      </w:r>
      <w:r>
        <w:t>: Rich parameterization (single/multi-value, cascading parameters where one parameter's available values depend on another's selection) — used to let a user pick e.g. a specific customer before rendering an invoice.</w:t>
      </w:r>
    </w:p>
    <w:p w14:paraId="5414FAD1" w14:textId="77777777" w:rsidR="0040359F" w:rsidRDefault="00000000">
      <w:pPr>
        <w:pStyle w:val="ListParagraph"/>
        <w:numPr>
          <w:ilvl w:val="0"/>
          <w:numId w:val="1"/>
        </w:numPr>
        <w:spacing w:after="60"/>
      </w:pPr>
      <w:r>
        <w:rPr>
          <w:b/>
          <w:bCs/>
        </w:rPr>
        <w:t>Expressions</w:t>
      </w:r>
      <w:r>
        <w:t>: Uses VB.NET-like expression syntax (`=</w:t>
      </w:r>
      <w:proofErr w:type="spellStart"/>
      <w:r>
        <w:t>Fields!SalesAmount.Value</w:t>
      </w:r>
      <w:proofErr w:type="spellEnd"/>
      <w:r>
        <w:t>`), not DAX, for calculated report elements.</w:t>
      </w:r>
    </w:p>
    <w:p w14:paraId="43E6FBAB" w14:textId="77777777" w:rsidR="0040359F" w:rsidRDefault="00000000">
      <w:pPr>
        <w:pStyle w:val="ListParagraph"/>
        <w:numPr>
          <w:ilvl w:val="0"/>
          <w:numId w:val="1"/>
        </w:numPr>
        <w:spacing w:after="60"/>
      </w:pPr>
      <w:r>
        <w:rPr>
          <w:b/>
          <w:bCs/>
        </w:rPr>
        <w:t>Page setup</w:t>
      </w:r>
      <w:r>
        <w:t>: Precise control of page size, margins, headers/footers (repeated across every printed page), and page breaks (explicit, or automatic based on group boundaries in a Tablix).</w:t>
      </w:r>
    </w:p>
    <w:p w14:paraId="6493048E" w14:textId="77777777" w:rsidR="00C819E4" w:rsidRDefault="00C819E4" w:rsidP="00C819E4">
      <w:pPr>
        <w:spacing w:after="60"/>
      </w:pPr>
    </w:p>
    <w:p w14:paraId="3CD80FD8" w14:textId="77777777" w:rsidR="00C819E4" w:rsidRDefault="00C819E4" w:rsidP="00C819E4">
      <w:pPr>
        <w:spacing w:after="60"/>
      </w:pPr>
    </w:p>
    <w:p w14:paraId="2D2C196F" w14:textId="77777777" w:rsidR="00C819E4" w:rsidRDefault="00C819E4" w:rsidP="00C819E4">
      <w:pPr>
        <w:spacing w:after="60"/>
      </w:pPr>
    </w:p>
    <w:p w14:paraId="53F5C55C" w14:textId="77777777" w:rsidR="00C819E4" w:rsidRDefault="00C819E4" w:rsidP="00C819E4">
      <w:pPr>
        <w:spacing w:after="60"/>
      </w:pPr>
    </w:p>
    <w:p w14:paraId="7E2716A2" w14:textId="77777777" w:rsidR="00C819E4" w:rsidRDefault="00C819E4" w:rsidP="00C819E4">
      <w:pPr>
        <w:spacing w:after="60"/>
      </w:pPr>
    </w:p>
    <w:p w14:paraId="1F1FC265" w14:textId="77777777" w:rsidR="00C819E4" w:rsidRDefault="00C819E4" w:rsidP="00C819E4">
      <w:pPr>
        <w:spacing w:after="60"/>
      </w:pPr>
    </w:p>
    <w:p w14:paraId="2839CF5D" w14:textId="77777777" w:rsidR="00C819E4" w:rsidRDefault="00C819E4" w:rsidP="00C819E4">
      <w:pPr>
        <w:spacing w:after="60"/>
      </w:pPr>
    </w:p>
    <w:p w14:paraId="0F519D80" w14:textId="77777777" w:rsidR="0040359F" w:rsidRDefault="00000000">
      <w:pPr>
        <w:pStyle w:val="Heading2"/>
      </w:pPr>
      <w:bookmarkStart w:id="70" w:name="_Toc236395509"/>
      <w:r>
        <w:t>12.4 Publishing and Consumption</w:t>
      </w:r>
      <w:bookmarkEnd w:id="70"/>
    </w:p>
    <w:p w14:paraId="4913EAD3" w14:textId="77777777" w:rsidR="0040359F" w:rsidRDefault="00000000">
      <w:pPr>
        <w:spacing w:after="150"/>
      </w:pPr>
      <w:r>
        <w:t xml:space="preserve">Published to the Power BI Service into a workspace (requires Premium capacity or Premium-Per-User), paginated reports can be viewed/exported directly in the browser (PDF, Word, Excel, PowerPoint, CSV, XML), and </w:t>
      </w:r>
      <w:r>
        <w:rPr>
          <w:b/>
          <w:bCs/>
        </w:rPr>
        <w:t>subscribed to</w:t>
      </w:r>
      <w:r>
        <w:t xml:space="preserve"> with scheduled email delivery of the rendered output — a strong exam differentiator, since paginated reports are specifically </w:t>
      </w:r>
      <w:proofErr w:type="spellStart"/>
      <w:r>
        <w:t>favored</w:t>
      </w:r>
      <w:proofErr w:type="spellEnd"/>
      <w:r>
        <w:t xml:space="preserve"> for scheduled, exact-format document delivery (e.g., a monthly invoice batch).</w:t>
      </w:r>
    </w:p>
    <w:p w14:paraId="1C248AC1" w14:textId="77777777" w:rsidR="0040359F" w:rsidRDefault="00000000">
      <w:pPr>
        <w:spacing w:after="150"/>
      </w:pPr>
      <w:r>
        <w:rPr>
          <w:b/>
          <w:bCs/>
        </w:rPr>
        <w:t>Case study</w:t>
      </w:r>
      <w:r>
        <w:t>: A utility company needs to generate 50,000 individual customer invoices monthly, each pixel-perfect with company letterhead, formatted exactly for printing/mailing, driven by a "Customer ID" parameter — the textbook paginated-report use case versus a standard interactive Power BI report.</w:t>
      </w:r>
    </w:p>
    <w:p w14:paraId="42549E19" w14:textId="77777777" w:rsidR="00C819E4" w:rsidRDefault="00C819E4">
      <w:pPr>
        <w:spacing w:after="150"/>
      </w:pPr>
    </w:p>
    <w:p w14:paraId="450A2A5A" w14:textId="69CC81EC" w:rsidR="00C819E4" w:rsidRDefault="00C819E4">
      <w:pPr>
        <w:spacing w:after="150"/>
      </w:pPr>
    </w:p>
    <w:p w14:paraId="40EBC962" w14:textId="77777777" w:rsidR="0040359F" w:rsidRDefault="00000000">
      <w:pPr>
        <w:pStyle w:val="Heading1"/>
      </w:pPr>
      <w:bookmarkStart w:id="71" w:name="_Toc236395510"/>
      <w:r>
        <w:lastRenderedPageBreak/>
        <w:t xml:space="preserve">Part 13: AI Visuals — </w:t>
      </w:r>
      <w:proofErr w:type="spellStart"/>
      <w:r>
        <w:t>Analyze</w:t>
      </w:r>
      <w:proofErr w:type="spellEnd"/>
      <w:r>
        <w:t xml:space="preserve"> Feature, Decomposition Tree, and Key Influencers</w:t>
      </w:r>
      <w:bookmarkEnd w:id="71"/>
    </w:p>
    <w:p w14:paraId="30998214" w14:textId="77777777" w:rsidR="0040359F" w:rsidRDefault="00000000">
      <w:pPr>
        <w:pStyle w:val="Heading2"/>
      </w:pPr>
      <w:bookmarkStart w:id="72" w:name="_Toc236395511"/>
      <w:r>
        <w:t>13.1 The "</w:t>
      </w:r>
      <w:proofErr w:type="spellStart"/>
      <w:r>
        <w:t>Analyze</w:t>
      </w:r>
      <w:proofErr w:type="spellEnd"/>
      <w:r>
        <w:t>" Feature (Explain the Increase/Decrease)</w:t>
      </w:r>
      <w:bookmarkEnd w:id="72"/>
    </w:p>
    <w:p w14:paraId="0C200C11" w14:textId="77777777" w:rsidR="0040359F" w:rsidRDefault="00000000">
      <w:pPr>
        <w:spacing w:after="150"/>
      </w:pPr>
      <w:r>
        <w:t xml:space="preserve">Right-clicking a data point in most Cartesian visuals (bar, column, line) offers </w:t>
      </w:r>
      <w:r>
        <w:rPr>
          <w:b/>
          <w:bCs/>
        </w:rPr>
        <w:t>"</w:t>
      </w:r>
      <w:proofErr w:type="spellStart"/>
      <w:r>
        <w:rPr>
          <w:b/>
          <w:bCs/>
        </w:rPr>
        <w:t>Analyze</w:t>
      </w:r>
      <w:proofErr w:type="spellEnd"/>
      <w:r>
        <w:rPr>
          <w:b/>
          <w:bCs/>
        </w:rPr>
        <w:t>" → "Explain the increase" / "Explain the decrease"</w:t>
      </w:r>
      <w:r>
        <w:t xml:space="preserve"> (wording varies by point trend). This opens a pop-up that automatically runs statistical analysis across other fields in the model to explain </w:t>
      </w:r>
      <w:r>
        <w:rPr>
          <w:b/>
          <w:bCs/>
        </w:rPr>
        <w:t>why</w:t>
      </w:r>
      <w:r>
        <w:t xml:space="preserve"> that specific point is higher/lower than expected, surfacing the most statistically significant contributing factors as small mini-visuals, ranked by explanatory strength. It can also suggest </w:t>
      </w:r>
      <w:r>
        <w:rPr>
          <w:b/>
          <w:bCs/>
        </w:rPr>
        <w:t>"Find outliers"</w:t>
      </w:r>
      <w:r>
        <w:t xml:space="preserve"> in relevant contexts.</w:t>
      </w:r>
    </w:p>
    <w:p w14:paraId="447B90A3" w14:textId="77777777" w:rsidR="0040359F" w:rsidRDefault="00000000">
      <w:pPr>
        <w:pStyle w:val="Heading2"/>
      </w:pPr>
      <w:bookmarkStart w:id="73" w:name="_Toc236395512"/>
      <w:r>
        <w:t>13.2 Decomposition Tree Visual</w:t>
      </w:r>
      <w:bookmarkEnd w:id="73"/>
    </w:p>
    <w:p w14:paraId="53689A5A" w14:textId="77777777" w:rsidR="0040359F" w:rsidRDefault="00000000">
      <w:pPr>
        <w:spacing w:after="150"/>
      </w:pPr>
      <w:r>
        <w:t xml:space="preserve">The </w:t>
      </w:r>
      <w:r>
        <w:rPr>
          <w:b/>
          <w:bCs/>
        </w:rPr>
        <w:t>Decomposition tree</w:t>
      </w:r>
      <w:r>
        <w:t xml:space="preserve"> lets users interactively break down a measure across multiple dimensions in whichever order they choose, on the fly, by clicking "+" on any node to expand into a chosen dimension.</w:t>
      </w:r>
    </w:p>
    <w:p w14:paraId="6EF64011" w14:textId="77777777" w:rsidR="0040359F" w:rsidRDefault="00000000">
      <w:pPr>
        <w:pStyle w:val="ListParagraph"/>
        <w:numPr>
          <w:ilvl w:val="0"/>
          <w:numId w:val="1"/>
        </w:numPr>
        <w:spacing w:after="60"/>
      </w:pPr>
      <w:r>
        <w:t xml:space="preserve">Configuration wells: </w:t>
      </w:r>
      <w:proofErr w:type="spellStart"/>
      <w:r>
        <w:rPr>
          <w:b/>
          <w:bCs/>
        </w:rPr>
        <w:t>Analyze</w:t>
      </w:r>
      <w:proofErr w:type="spellEnd"/>
      <w:r>
        <w:t xml:space="preserve"> (the measure to decompose) and </w:t>
      </w:r>
      <w:r>
        <w:rPr>
          <w:b/>
          <w:bCs/>
        </w:rPr>
        <w:t>Explain by</w:t>
      </w:r>
      <w:r>
        <w:t xml:space="preserve"> (the list of candidate dimension fields available for branching).</w:t>
      </w:r>
    </w:p>
    <w:p w14:paraId="7804B00D" w14:textId="77777777" w:rsidR="0040359F" w:rsidRDefault="00000000">
      <w:pPr>
        <w:pStyle w:val="ListParagraph"/>
        <w:numPr>
          <w:ilvl w:val="0"/>
          <w:numId w:val="1"/>
        </w:numPr>
        <w:spacing w:after="60"/>
      </w:pPr>
      <w:r>
        <w:t xml:space="preserve">Two expansion modes: </w:t>
      </w:r>
      <w:r>
        <w:rPr>
          <w:b/>
          <w:bCs/>
        </w:rPr>
        <w:t>manual</w:t>
      </w:r>
      <w:r>
        <w:t xml:space="preserve"> (user picks which field to expand by, node by node) and </w:t>
      </w:r>
      <w:r>
        <w:rPr>
          <w:b/>
          <w:bCs/>
        </w:rPr>
        <w:t>AI Splits</w:t>
      </w:r>
      <w:r>
        <w:t xml:space="preserve"> — clicking "+" and choosing "High value" or "Low value" lets the AI automatically pick the *next dimension and specific value* that contributes the most to a high or low outcome, essentially automating root-cause drill-down.</w:t>
      </w:r>
    </w:p>
    <w:p w14:paraId="66E2E7DE" w14:textId="77777777" w:rsidR="0040359F" w:rsidRDefault="00000000">
      <w:pPr>
        <w:spacing w:after="150"/>
      </w:pPr>
      <w:r>
        <w:rPr>
          <w:b/>
          <w:bCs/>
        </w:rPr>
        <w:t>Case study</w:t>
      </w:r>
      <w:r>
        <w:t xml:space="preserve">: Decomposing "Total Expenses" starting at the company level, letting AI Splits automatically drill: Company → Department (Marketing flagged as highest) → Cost </w:t>
      </w:r>
      <w:proofErr w:type="spellStart"/>
      <w:r>
        <w:t>Center</w:t>
      </w:r>
      <w:proofErr w:type="spellEnd"/>
      <w:r>
        <w:t xml:space="preserve"> → Vendor, surfacing the single vendor driving an expense spike without the analyst manually building that drill path.</w:t>
      </w:r>
    </w:p>
    <w:p w14:paraId="29E62750" w14:textId="77777777" w:rsidR="0040359F" w:rsidRDefault="00000000">
      <w:pPr>
        <w:pStyle w:val="Heading2"/>
      </w:pPr>
      <w:bookmarkStart w:id="74" w:name="_Toc236395513"/>
      <w:r>
        <w:t>13.3 Key Influencers Visual</w:t>
      </w:r>
      <w:bookmarkEnd w:id="74"/>
    </w:p>
    <w:p w14:paraId="7D7EDE9B" w14:textId="77777777" w:rsidR="0040359F" w:rsidRDefault="00000000">
      <w:pPr>
        <w:spacing w:after="150"/>
      </w:pPr>
      <w:r>
        <w:t xml:space="preserve">The </w:t>
      </w:r>
      <w:r>
        <w:rPr>
          <w:b/>
          <w:bCs/>
        </w:rPr>
        <w:t>Key Influencers</w:t>
      </w:r>
      <w:r>
        <w:t xml:space="preserve"> visual </w:t>
      </w:r>
      <w:proofErr w:type="spellStart"/>
      <w:r>
        <w:t>analyzes</w:t>
      </w:r>
      <w:proofErr w:type="spellEnd"/>
      <w:r>
        <w:t xml:space="preserve"> what drives a chosen metric (either a continuous numeric measure's increase/decrease, or the likelihood of a categorical outcome, e.g., "Churn = Yes") by testing candidate explanatory fields and using a machine-learning approach to rank factors.</w:t>
      </w:r>
    </w:p>
    <w:p w14:paraId="072EE982" w14:textId="77777777" w:rsidR="0040359F" w:rsidRDefault="00000000">
      <w:pPr>
        <w:pStyle w:val="Heading3"/>
      </w:pPr>
      <w:bookmarkStart w:id="75" w:name="_Toc236395514"/>
      <w:r>
        <w:t>Two tabs</w:t>
      </w:r>
      <w:bookmarkEnd w:id="75"/>
    </w:p>
    <w:p w14:paraId="2DC0C3D2" w14:textId="77777777" w:rsidR="0040359F" w:rsidRDefault="00000000">
      <w:pPr>
        <w:pStyle w:val="ListParagraph"/>
        <w:numPr>
          <w:ilvl w:val="0"/>
          <w:numId w:val="1"/>
        </w:numPr>
        <w:spacing w:after="60"/>
      </w:pPr>
      <w:r>
        <w:rPr>
          <w:b/>
          <w:bCs/>
        </w:rPr>
        <w:t>"What influences [metric]"</w:t>
      </w:r>
      <w:r>
        <w:t>: Lists ranked influencers with plain-language explanations (e.g., "When Contract Type = Month-to-month, Churn is 3.2x more likely") and an expandable detail chart per influencer showing the underlying distribution.</w:t>
      </w:r>
    </w:p>
    <w:p w14:paraId="57250D7A" w14:textId="77777777" w:rsidR="0040359F" w:rsidRDefault="00000000">
      <w:pPr>
        <w:pStyle w:val="ListParagraph"/>
        <w:numPr>
          <w:ilvl w:val="0"/>
          <w:numId w:val="1"/>
        </w:numPr>
        <w:spacing w:after="60"/>
      </w:pPr>
      <w:r>
        <w:rPr>
          <w:b/>
          <w:bCs/>
        </w:rPr>
        <w:t>"Top segments"</w:t>
      </w:r>
      <w:r>
        <w:t>: Automatically discovers combinations of factors that describe the highest/lowest concentration segments, presented as a scatter/box visualization of segments by size vs. metric concentration.</w:t>
      </w:r>
    </w:p>
    <w:p w14:paraId="4382F862" w14:textId="77777777" w:rsidR="0040359F" w:rsidRDefault="00000000">
      <w:pPr>
        <w:pStyle w:val="Heading3"/>
      </w:pPr>
      <w:bookmarkStart w:id="76" w:name="_Toc236395515"/>
      <w:r>
        <w:t>Configuration</w:t>
      </w:r>
      <w:bookmarkEnd w:id="76"/>
    </w:p>
    <w:p w14:paraId="127F9322" w14:textId="77777777" w:rsidR="0040359F" w:rsidRDefault="00000000">
      <w:pPr>
        <w:spacing w:after="150"/>
      </w:pPr>
      <w:proofErr w:type="spellStart"/>
      <w:r>
        <w:rPr>
          <w:b/>
          <w:bCs/>
        </w:rPr>
        <w:t>Analyze</w:t>
      </w:r>
      <w:proofErr w:type="spellEnd"/>
      <w:r>
        <w:t xml:space="preserve"> field (the outcome to explain — categorical field, or "Increase"/"Decrease" of a measure), </w:t>
      </w:r>
      <w:r>
        <w:rPr>
          <w:b/>
          <w:bCs/>
        </w:rPr>
        <w:t>Explain by</w:t>
      </w:r>
      <w:r>
        <w:t xml:space="preserve"> (candidate fields the algorithm should test), and optional </w:t>
      </w:r>
      <w:r>
        <w:rPr>
          <w:b/>
          <w:bCs/>
        </w:rPr>
        <w:t>Expand by</w:t>
      </w:r>
      <w:r>
        <w:t xml:space="preserve"> (adds further granularity for segment analysis).</w:t>
      </w:r>
    </w:p>
    <w:p w14:paraId="433C366D" w14:textId="77777777" w:rsidR="0040359F" w:rsidRDefault="00000000">
      <w:pPr>
        <w:spacing w:after="150"/>
      </w:pPr>
      <w:r>
        <w:rPr>
          <w:b/>
          <w:bCs/>
        </w:rPr>
        <w:t>Case study</w:t>
      </w:r>
      <w:r>
        <w:t xml:space="preserve">: An HR analytics report uses Key Influencers with </w:t>
      </w:r>
      <w:proofErr w:type="spellStart"/>
      <w:r>
        <w:t>Analyze</w:t>
      </w:r>
      <w:proofErr w:type="spellEnd"/>
      <w:r>
        <w:t xml:space="preserve"> = "Attrition (Yes/No)" and Explain by = Department, </w:t>
      </w:r>
      <w:proofErr w:type="spellStart"/>
      <w:r>
        <w:t>OverTime</w:t>
      </w:r>
      <w:proofErr w:type="spellEnd"/>
      <w:r>
        <w:t xml:space="preserve">, </w:t>
      </w:r>
      <w:proofErr w:type="spellStart"/>
      <w:r>
        <w:t>JobSatisfaction</w:t>
      </w:r>
      <w:proofErr w:type="spellEnd"/>
      <w:r>
        <w:t xml:space="preserve">, </w:t>
      </w:r>
      <w:proofErr w:type="spellStart"/>
      <w:r>
        <w:t>YearsAtCompany</w:t>
      </w:r>
      <w:proofErr w:type="spellEnd"/>
      <w:r>
        <w:t xml:space="preserve">, </w:t>
      </w:r>
      <w:proofErr w:type="spellStart"/>
      <w:r>
        <w:t>MonthlyIncome</w:t>
      </w:r>
      <w:proofErr w:type="spellEnd"/>
      <w:r>
        <w:t xml:space="preserve"> — surfacing that "</w:t>
      </w:r>
      <w:proofErr w:type="spellStart"/>
      <w:r>
        <w:t>OverTime</w:t>
      </w:r>
      <w:proofErr w:type="spellEnd"/>
      <w:r>
        <w:t xml:space="preserve"> = Yes" is the single strongest driver of attrition likelihood, without the analyst writing any statistical code.</w:t>
      </w:r>
    </w:p>
    <w:p w14:paraId="2EF10B01" w14:textId="77777777" w:rsidR="00C819E4" w:rsidRDefault="00C819E4">
      <w:pPr>
        <w:spacing w:after="150"/>
      </w:pPr>
    </w:p>
    <w:p w14:paraId="67C21FD0" w14:textId="77777777" w:rsidR="0040359F" w:rsidRDefault="00000000">
      <w:pPr>
        <w:pStyle w:val="Heading1"/>
      </w:pPr>
      <w:bookmarkStart w:id="77" w:name="_Toc236395519"/>
      <w:r>
        <w:lastRenderedPageBreak/>
        <w:t>Part 14: Additional Official Exam Topics (Copilot, Visual Calculations, Report Configuration, Accessibility, and More)</w:t>
      </w:r>
      <w:bookmarkEnd w:id="77"/>
    </w:p>
    <w:p w14:paraId="1D4B518C" w14:textId="77777777" w:rsidR="0040359F" w:rsidRDefault="00000000">
      <w:pPr>
        <w:spacing w:after="150"/>
      </w:pPr>
      <w:r>
        <w:t xml:space="preserve">*This part covers skills-measured items from Microsoft's official PL-300 outline that fall under "Visualize and </w:t>
      </w:r>
      <w:proofErr w:type="spellStart"/>
      <w:r>
        <w:t>analyze</w:t>
      </w:r>
      <w:proofErr w:type="spellEnd"/>
      <w:r>
        <w:t xml:space="preserve"> the data" but were not part of the original Udemy course list. It brings this guide fully in line with the current official skills outline.*</w:t>
      </w:r>
    </w:p>
    <w:p w14:paraId="6D84194F" w14:textId="77777777" w:rsidR="0040359F" w:rsidRDefault="00000000">
      <w:pPr>
        <w:pStyle w:val="Heading2"/>
      </w:pPr>
      <w:bookmarkStart w:id="78" w:name="_Toc236395520"/>
      <w:r>
        <w:t>14.1 Copilot for Power BI — Report Creation</w:t>
      </w:r>
      <w:bookmarkEnd w:id="78"/>
    </w:p>
    <w:p w14:paraId="7FCBE767" w14:textId="77777777" w:rsidR="0040359F" w:rsidRDefault="00000000">
      <w:pPr>
        <w:spacing w:after="150"/>
      </w:pPr>
      <w:r>
        <w:rPr>
          <w:b/>
          <w:bCs/>
        </w:rPr>
        <w:t>Copilot</w:t>
      </w:r>
      <w:r>
        <w:t xml:space="preserve"> is Microsoft's generative-AI assistant integrated into Power BI Desktop and the Power BI Service. It requires Copilot to be enabled at the tenant level (via Fabric capacity or Premium Per User licensing) and the underlying semantic model to have the </w:t>
      </w:r>
      <w:r>
        <w:rPr>
          <w:b/>
          <w:bCs/>
        </w:rPr>
        <w:t>Q&amp;A feature switch</w:t>
      </w:r>
      <w:r>
        <w:t xml:space="preserve"> turned on.</w:t>
      </w:r>
    </w:p>
    <w:p w14:paraId="4C79566D" w14:textId="77777777" w:rsidR="0040359F" w:rsidRDefault="00000000">
      <w:pPr>
        <w:pStyle w:val="Heading3"/>
      </w:pPr>
      <w:bookmarkStart w:id="79" w:name="_Toc236395521"/>
      <w:r>
        <w:t>Use Copilot to create a new report page</w:t>
      </w:r>
      <w:bookmarkEnd w:id="79"/>
    </w:p>
    <w:p w14:paraId="65F55EC0" w14:textId="77777777" w:rsidR="0040359F" w:rsidRDefault="00000000">
      <w:pPr>
        <w:spacing w:after="150"/>
      </w:pPr>
      <w:r>
        <w:t xml:space="preserve">In the Copilot pane, a user can type a natural-language prompt describing the report or visuals they want (e.g., "Create a page showing sales by region and top 10 products"), and Copilot generates the corresponding visuals directly on a new page. Generated pages can be edited normally afterward — Copilot output is a starting point, not a locked design. </w:t>
      </w:r>
      <w:r>
        <w:rPr>
          <w:b/>
          <w:bCs/>
        </w:rPr>
        <w:t>Undo/redo</w:t>
      </w:r>
      <w:r>
        <w:t xml:space="preserve"> works on Copilot-generated changes just like any manual edit.</w:t>
      </w:r>
    </w:p>
    <w:p w14:paraId="1140CCB6" w14:textId="77777777" w:rsidR="0040359F" w:rsidRDefault="00000000">
      <w:pPr>
        <w:pStyle w:val="Heading3"/>
      </w:pPr>
      <w:bookmarkStart w:id="80" w:name="_Toc236395522"/>
      <w:r>
        <w:t>Use Copilot to suggest content for a new report page</w:t>
      </w:r>
      <w:bookmarkEnd w:id="80"/>
    </w:p>
    <w:p w14:paraId="7DFA173D" w14:textId="77777777" w:rsidR="0040359F" w:rsidRDefault="00000000">
      <w:pPr>
        <w:spacing w:after="150"/>
      </w:pPr>
      <w:r>
        <w:t xml:space="preserve">Rather than typing a specific prompt, selecting </w:t>
      </w:r>
      <w:r>
        <w:rPr>
          <w:b/>
          <w:bCs/>
        </w:rPr>
        <w:t>"Suggest content for this report"</w:t>
      </w:r>
      <w:r>
        <w:t xml:space="preserve"> has Copilot evaluate the semantic model itself and propose a </w:t>
      </w:r>
      <w:r>
        <w:rPr>
          <w:b/>
          <w:bCs/>
        </w:rPr>
        <w:t>report outline</w:t>
      </w:r>
      <w:r>
        <w:t xml:space="preserve"> of suggested pages/topics, which the user can review and choose to generate.</w:t>
      </w:r>
    </w:p>
    <w:p w14:paraId="7E5A770B" w14:textId="77777777" w:rsidR="0040359F" w:rsidRDefault="00000000">
      <w:pPr>
        <w:pStyle w:val="Heading3"/>
      </w:pPr>
      <w:bookmarkStart w:id="81" w:name="_Toc236395523"/>
      <w:r>
        <w:t>Key exam distinction</w:t>
      </w:r>
      <w:bookmarkEnd w:id="81"/>
    </w:p>
    <w:p w14:paraId="6F95D2CF" w14:textId="77777777" w:rsidR="0040359F" w:rsidRDefault="00000000">
      <w:pPr>
        <w:pStyle w:val="ListParagraph"/>
        <w:numPr>
          <w:ilvl w:val="0"/>
          <w:numId w:val="1"/>
        </w:numPr>
        <w:spacing w:after="60"/>
      </w:pPr>
      <w:r>
        <w:t>"Create a new report page" = user-driven prompt → Copilot builds it.</w:t>
      </w:r>
    </w:p>
    <w:p w14:paraId="61C54C1A" w14:textId="77777777" w:rsidR="0040359F" w:rsidRDefault="00000000">
      <w:pPr>
        <w:pStyle w:val="ListParagraph"/>
        <w:numPr>
          <w:ilvl w:val="0"/>
          <w:numId w:val="1"/>
        </w:numPr>
        <w:spacing w:after="60"/>
      </w:pPr>
      <w:r>
        <w:t>"Suggest content" = Copilot-driven analysis of the model → Copilot proposes an outline first.</w:t>
      </w:r>
    </w:p>
    <w:p w14:paraId="690579DA" w14:textId="77777777" w:rsidR="0040359F" w:rsidRDefault="00000000">
      <w:pPr>
        <w:pStyle w:val="Heading3"/>
      </w:pPr>
      <w:bookmarkStart w:id="82" w:name="_Toc236395524"/>
      <w:r>
        <w:t>Considerations/limitations</w:t>
      </w:r>
      <w:bookmarkEnd w:id="82"/>
    </w:p>
    <w:p w14:paraId="12209C6E" w14:textId="77777777" w:rsidR="0040359F" w:rsidRDefault="00000000">
      <w:pPr>
        <w:pStyle w:val="ListParagraph"/>
        <w:numPr>
          <w:ilvl w:val="0"/>
          <w:numId w:val="1"/>
        </w:numPr>
        <w:spacing w:after="60"/>
      </w:pPr>
      <w:r>
        <w:t>Requires write permission on the report to actually create visuals; without write permission, a user can still ask Copilot questions and get insights but not generate new visuals.</w:t>
      </w:r>
    </w:p>
    <w:p w14:paraId="081DE196" w14:textId="77777777" w:rsidR="0040359F" w:rsidRDefault="00000000">
      <w:pPr>
        <w:pStyle w:val="ListParagraph"/>
        <w:numPr>
          <w:ilvl w:val="0"/>
          <w:numId w:val="1"/>
        </w:numPr>
        <w:spacing w:after="60"/>
      </w:pPr>
      <w:r>
        <w:t xml:space="preserve">A Copilot-generated report reopens in </w:t>
      </w:r>
      <w:r>
        <w:rPr>
          <w:b/>
          <w:bCs/>
        </w:rPr>
        <w:t>Reading view</w:t>
      </w:r>
      <w:r>
        <w:t xml:space="preserve"> (Copilot pane hidden) unless the user selects Edit.</w:t>
      </w:r>
    </w:p>
    <w:p w14:paraId="7D63DEC0" w14:textId="77777777" w:rsidR="0040359F" w:rsidRDefault="00000000">
      <w:pPr>
        <w:pStyle w:val="ListParagraph"/>
        <w:numPr>
          <w:ilvl w:val="0"/>
          <w:numId w:val="1"/>
        </w:numPr>
        <w:spacing w:after="60"/>
      </w:pPr>
      <w:r>
        <w:t>Data model quality matters: clearly named tables, columns, and measures materially improve Copilot's output (a concept Microsoft documents as "update your data model to work well with Copilot").</w:t>
      </w:r>
    </w:p>
    <w:p w14:paraId="780E7492" w14:textId="77777777" w:rsidR="00C819E4" w:rsidRDefault="00C819E4" w:rsidP="00C819E4">
      <w:pPr>
        <w:spacing w:after="60"/>
      </w:pPr>
    </w:p>
    <w:p w14:paraId="071C61AD" w14:textId="77777777" w:rsidR="00C819E4" w:rsidRDefault="00C819E4" w:rsidP="00C819E4">
      <w:pPr>
        <w:spacing w:after="60"/>
      </w:pPr>
    </w:p>
    <w:p w14:paraId="7BA315ED" w14:textId="77777777" w:rsidR="00C819E4" w:rsidRDefault="00C819E4" w:rsidP="00C819E4">
      <w:pPr>
        <w:spacing w:after="60"/>
      </w:pPr>
    </w:p>
    <w:p w14:paraId="0AC9CCFA" w14:textId="77777777" w:rsidR="00C819E4" w:rsidRDefault="00C819E4" w:rsidP="00C819E4">
      <w:pPr>
        <w:spacing w:after="60"/>
      </w:pPr>
    </w:p>
    <w:p w14:paraId="2E2BEF8C" w14:textId="77777777" w:rsidR="00C819E4" w:rsidRDefault="00C819E4" w:rsidP="00C819E4">
      <w:pPr>
        <w:spacing w:after="60"/>
      </w:pPr>
    </w:p>
    <w:p w14:paraId="0FB6012C" w14:textId="77777777" w:rsidR="00C819E4" w:rsidRDefault="00C819E4" w:rsidP="00C819E4">
      <w:pPr>
        <w:spacing w:after="60"/>
      </w:pPr>
    </w:p>
    <w:p w14:paraId="7C57368D" w14:textId="77777777" w:rsidR="00C819E4" w:rsidRDefault="00C819E4" w:rsidP="00C819E4">
      <w:pPr>
        <w:spacing w:after="60"/>
      </w:pPr>
    </w:p>
    <w:p w14:paraId="1A1B3B9B" w14:textId="77777777" w:rsidR="00C819E4" w:rsidRDefault="00C819E4" w:rsidP="00C819E4">
      <w:pPr>
        <w:spacing w:after="60"/>
      </w:pPr>
    </w:p>
    <w:p w14:paraId="0868267D" w14:textId="77777777" w:rsidR="00C819E4" w:rsidRDefault="00C819E4" w:rsidP="00C819E4">
      <w:pPr>
        <w:spacing w:after="60"/>
      </w:pPr>
    </w:p>
    <w:p w14:paraId="7073A266" w14:textId="77777777" w:rsidR="00C819E4" w:rsidRDefault="00C819E4" w:rsidP="00C819E4">
      <w:pPr>
        <w:spacing w:after="60"/>
      </w:pPr>
    </w:p>
    <w:p w14:paraId="2E2F349C" w14:textId="77777777" w:rsidR="00C819E4" w:rsidRDefault="00C819E4" w:rsidP="00C819E4">
      <w:pPr>
        <w:spacing w:after="60"/>
      </w:pPr>
    </w:p>
    <w:p w14:paraId="7B6572D8" w14:textId="77777777" w:rsidR="0040359F" w:rsidRDefault="00000000">
      <w:pPr>
        <w:pStyle w:val="Heading2"/>
      </w:pPr>
      <w:bookmarkStart w:id="83" w:name="_Toc236395525"/>
      <w:r>
        <w:lastRenderedPageBreak/>
        <w:t>14.2 Create a Narrative Visual with Copilot</w:t>
      </w:r>
      <w:bookmarkEnd w:id="83"/>
    </w:p>
    <w:p w14:paraId="7DF3B57C" w14:textId="77777777" w:rsidR="0040359F" w:rsidRDefault="00000000">
      <w:pPr>
        <w:spacing w:after="150"/>
      </w:pPr>
      <w:r>
        <w:t xml:space="preserve">This is the AI-powered evolution of the classic Smart Narrative visual (Part 11.4). The </w:t>
      </w:r>
      <w:r>
        <w:rPr>
          <w:b/>
          <w:bCs/>
        </w:rPr>
        <w:t>Narrative (Copilot)</w:t>
      </w:r>
      <w:r>
        <w:t xml:space="preserve"> visual button in the Visualizations pane replaces/extends the older Smart Narrative button — when selected, Power BI offers a choice between the "old" narrative visual and the new Copilot-powered one.</w:t>
      </w:r>
    </w:p>
    <w:p w14:paraId="09866158" w14:textId="77777777" w:rsidR="0040359F" w:rsidRDefault="00000000">
      <w:pPr>
        <w:pStyle w:val="ListParagraph"/>
        <w:numPr>
          <w:ilvl w:val="0"/>
          <w:numId w:val="1"/>
        </w:numPr>
        <w:spacing w:after="60"/>
      </w:pPr>
      <w:r>
        <w:t xml:space="preserve">The narrative visual </w:t>
      </w:r>
      <w:r>
        <w:rPr>
          <w:b/>
          <w:bCs/>
        </w:rPr>
        <w:t>reads from what's on the report canvas</w:t>
      </w:r>
      <w:r>
        <w:t xml:space="preserve"> (the visuals themselves), not directly from the raw semantic model — so clearly </w:t>
      </w:r>
      <w:proofErr w:type="spellStart"/>
      <w:r>
        <w:t>labeled</w:t>
      </w:r>
      <w:proofErr w:type="spellEnd"/>
      <w:r>
        <w:t xml:space="preserve"> visuals and axes materially affect the quality of the generated narrative.</w:t>
      </w:r>
    </w:p>
    <w:p w14:paraId="035113DC" w14:textId="77777777" w:rsidR="0040359F" w:rsidRDefault="00000000">
      <w:pPr>
        <w:pStyle w:val="ListParagraph"/>
        <w:numPr>
          <w:ilvl w:val="0"/>
          <w:numId w:val="1"/>
        </w:numPr>
        <w:spacing w:after="60"/>
      </w:pPr>
      <w:r>
        <w:t xml:space="preserve">Users can </w:t>
      </w:r>
      <w:r>
        <w:rPr>
          <w:b/>
          <w:bCs/>
        </w:rPr>
        <w:t>iteratively refine</w:t>
      </w:r>
      <w:r>
        <w:t xml:space="preserve"> the generated narrative with follow-up prompts, e.g., "Shorten this summary and make the key information bold," or "Add the question: what factors influence customer retention?"</w:t>
      </w:r>
    </w:p>
    <w:p w14:paraId="58739CD0" w14:textId="77777777" w:rsidR="0040359F" w:rsidRDefault="00000000">
      <w:pPr>
        <w:pStyle w:val="ListParagraph"/>
        <w:numPr>
          <w:ilvl w:val="0"/>
          <w:numId w:val="1"/>
        </w:numPr>
        <w:spacing w:after="60"/>
      </w:pPr>
      <w:r>
        <w:t xml:space="preserve">Narratives can be scoped to summarize an </w:t>
      </w:r>
      <w:r>
        <w:rPr>
          <w:b/>
          <w:bCs/>
        </w:rPr>
        <w:t>entire report, a single page, or specific selected visuals</w:t>
      </w:r>
      <w:r>
        <w:t>.</w:t>
      </w:r>
    </w:p>
    <w:p w14:paraId="6653B2C0" w14:textId="77777777" w:rsidR="0040359F" w:rsidRDefault="00000000">
      <w:pPr>
        <w:pStyle w:val="ListParagraph"/>
        <w:numPr>
          <w:ilvl w:val="0"/>
          <w:numId w:val="1"/>
        </w:numPr>
        <w:spacing w:after="60"/>
      </w:pPr>
      <w:r>
        <w:rPr>
          <w:b/>
          <w:bCs/>
        </w:rPr>
        <w:t>Exam distinction restated</w:t>
      </w:r>
      <w:r>
        <w:t>: the classic Smart Narrative (Part 11.4) is template/rules-based and fully deterministic; the Copilot-powered Narrative visual uses generative AI (Azure OpenAI) to produce more natural, flexible prose and can be refined conversationally.</w:t>
      </w:r>
    </w:p>
    <w:p w14:paraId="33FD62C4" w14:textId="77777777" w:rsidR="0040359F" w:rsidRDefault="00000000">
      <w:pPr>
        <w:pStyle w:val="Heading2"/>
      </w:pPr>
      <w:bookmarkStart w:id="84" w:name="_Toc236395526"/>
      <w:r>
        <w:t>14.3 Use Copilot to Summarize the Underlying Semantic Model</w:t>
      </w:r>
      <w:bookmarkEnd w:id="84"/>
    </w:p>
    <w:p w14:paraId="1AC2CC14" w14:textId="77777777" w:rsidR="0040359F" w:rsidRDefault="00000000">
      <w:pPr>
        <w:spacing w:after="150"/>
      </w:pPr>
      <w:r>
        <w:t xml:space="preserve">Beyond summarizing a report's visuals, Copilot can be asked (via the Copilot pane) to </w:t>
      </w:r>
      <w:r>
        <w:rPr>
          <w:b/>
          <w:bCs/>
        </w:rPr>
        <w:t>summarize report pages or the semantic model's content</w:t>
      </w:r>
      <w:r>
        <w:t xml:space="preserve"> in natural language — useful for consumers who find a report complex, have varying data literacy, or simply want a fast natural-language digest before digging into visuals themselves.</w:t>
      </w:r>
    </w:p>
    <w:p w14:paraId="3E1BCAB2" w14:textId="77777777" w:rsidR="0040359F" w:rsidRDefault="00000000">
      <w:pPr>
        <w:pStyle w:val="ListParagraph"/>
        <w:numPr>
          <w:ilvl w:val="0"/>
          <w:numId w:val="1"/>
        </w:numPr>
        <w:spacing w:after="60"/>
      </w:pPr>
      <w:r>
        <w:t xml:space="preserve">Available from the Copilot pane, from a Narrative visual on the page, or even embedded in </w:t>
      </w:r>
      <w:r>
        <w:rPr>
          <w:b/>
          <w:bCs/>
        </w:rPr>
        <w:t>report subscriptions</w:t>
      </w:r>
      <w:r>
        <w:t xml:space="preserve"> (an emailed report can include an AI-written summary).</w:t>
      </w:r>
    </w:p>
    <w:p w14:paraId="4B3BE7AE" w14:textId="77777777" w:rsidR="0040359F" w:rsidRDefault="00000000">
      <w:pPr>
        <w:pStyle w:val="ListParagraph"/>
        <w:numPr>
          <w:ilvl w:val="0"/>
          <w:numId w:val="1"/>
        </w:numPr>
        <w:spacing w:after="60"/>
      </w:pPr>
      <w:r>
        <w:t xml:space="preserve">Users can ask targeted questions ("summarize this page using bullet points," "what drove the increase in Q2 revenue") and get answers that </w:t>
      </w:r>
      <w:r>
        <w:rPr>
          <w:b/>
          <w:bCs/>
        </w:rPr>
        <w:t>reference the specific visuals</w:t>
      </w:r>
      <w:r>
        <w:t xml:space="preserve"> that back up each part of the answer — improving trust/traceability of the AI output.</w:t>
      </w:r>
    </w:p>
    <w:p w14:paraId="5433CFF5" w14:textId="77777777" w:rsidR="0040359F" w:rsidRDefault="00000000">
      <w:pPr>
        <w:pStyle w:val="ListParagraph"/>
        <w:numPr>
          <w:ilvl w:val="0"/>
          <w:numId w:val="1"/>
        </w:numPr>
        <w:spacing w:after="60"/>
      </w:pPr>
      <w:r>
        <w:t xml:space="preserve">Copilot can also </w:t>
      </w:r>
      <w:r>
        <w:rPr>
          <w:b/>
          <w:bCs/>
        </w:rPr>
        <w:t>write DAX queries</w:t>
      </w:r>
      <w:r>
        <w:t xml:space="preserve"> from a plain-English description in the DAX query view, which a user can run directly.</w:t>
      </w:r>
    </w:p>
    <w:p w14:paraId="3263E640" w14:textId="77777777" w:rsidR="00C819E4" w:rsidRDefault="00C819E4" w:rsidP="00C819E4">
      <w:pPr>
        <w:spacing w:after="60"/>
      </w:pPr>
    </w:p>
    <w:p w14:paraId="6540B469" w14:textId="77777777" w:rsidR="00C819E4" w:rsidRDefault="00C819E4" w:rsidP="00C819E4">
      <w:pPr>
        <w:spacing w:after="60"/>
      </w:pPr>
    </w:p>
    <w:p w14:paraId="07753A45" w14:textId="77777777" w:rsidR="00C819E4" w:rsidRDefault="00C819E4" w:rsidP="00C819E4">
      <w:pPr>
        <w:spacing w:after="60"/>
      </w:pPr>
    </w:p>
    <w:p w14:paraId="5A191408" w14:textId="77777777" w:rsidR="00C819E4" w:rsidRDefault="00C819E4" w:rsidP="00C819E4">
      <w:pPr>
        <w:spacing w:after="60"/>
      </w:pPr>
    </w:p>
    <w:p w14:paraId="67533594" w14:textId="77777777" w:rsidR="00C819E4" w:rsidRDefault="00C819E4" w:rsidP="00C819E4">
      <w:pPr>
        <w:spacing w:after="60"/>
      </w:pPr>
    </w:p>
    <w:p w14:paraId="0E3DB07E" w14:textId="77777777" w:rsidR="00C819E4" w:rsidRDefault="00C819E4" w:rsidP="00C819E4">
      <w:pPr>
        <w:spacing w:after="60"/>
      </w:pPr>
    </w:p>
    <w:p w14:paraId="30CF102A" w14:textId="77777777" w:rsidR="00C819E4" w:rsidRDefault="00C819E4" w:rsidP="00C819E4">
      <w:pPr>
        <w:spacing w:after="60"/>
      </w:pPr>
    </w:p>
    <w:p w14:paraId="36A86233" w14:textId="77777777" w:rsidR="00C819E4" w:rsidRDefault="00C819E4" w:rsidP="00C819E4">
      <w:pPr>
        <w:spacing w:after="60"/>
      </w:pPr>
    </w:p>
    <w:p w14:paraId="686E449E" w14:textId="77777777" w:rsidR="00C819E4" w:rsidRDefault="00C819E4" w:rsidP="00C819E4">
      <w:pPr>
        <w:spacing w:after="60"/>
      </w:pPr>
    </w:p>
    <w:p w14:paraId="3072BA84" w14:textId="77777777" w:rsidR="00C819E4" w:rsidRDefault="00C819E4" w:rsidP="00C819E4">
      <w:pPr>
        <w:spacing w:after="60"/>
      </w:pPr>
    </w:p>
    <w:p w14:paraId="2393D5AB" w14:textId="77777777" w:rsidR="00C819E4" w:rsidRDefault="00C819E4" w:rsidP="00C819E4">
      <w:pPr>
        <w:spacing w:after="60"/>
      </w:pPr>
    </w:p>
    <w:p w14:paraId="4B5F5B57" w14:textId="77777777" w:rsidR="00C819E4" w:rsidRDefault="00C819E4" w:rsidP="00C819E4">
      <w:pPr>
        <w:spacing w:after="60"/>
      </w:pPr>
    </w:p>
    <w:p w14:paraId="0CDF9A47" w14:textId="77777777" w:rsidR="00C819E4" w:rsidRDefault="00C819E4" w:rsidP="00C819E4">
      <w:pPr>
        <w:spacing w:after="60"/>
      </w:pPr>
    </w:p>
    <w:p w14:paraId="510284BC" w14:textId="77777777" w:rsidR="00C819E4" w:rsidRDefault="00C819E4" w:rsidP="00C819E4">
      <w:pPr>
        <w:spacing w:after="60"/>
      </w:pPr>
    </w:p>
    <w:p w14:paraId="59957AA9" w14:textId="77777777" w:rsidR="00C819E4" w:rsidRDefault="00C819E4" w:rsidP="00C819E4">
      <w:pPr>
        <w:spacing w:after="60"/>
      </w:pPr>
    </w:p>
    <w:p w14:paraId="6CDD33A7" w14:textId="77777777" w:rsidR="00C819E4" w:rsidRDefault="00C819E4" w:rsidP="00C819E4">
      <w:pPr>
        <w:spacing w:after="60"/>
      </w:pPr>
    </w:p>
    <w:p w14:paraId="62BDCA5C" w14:textId="77777777" w:rsidR="0040359F" w:rsidRDefault="00000000">
      <w:pPr>
        <w:pStyle w:val="Heading2"/>
      </w:pPr>
      <w:bookmarkStart w:id="85" w:name="_Toc236395527"/>
      <w:r>
        <w:lastRenderedPageBreak/>
        <w:t>14.4 Visual Calculations</w:t>
      </w:r>
      <w:bookmarkEnd w:id="85"/>
    </w:p>
    <w:p w14:paraId="26091BE4" w14:textId="77777777" w:rsidR="0040359F" w:rsidRDefault="00000000">
      <w:pPr>
        <w:spacing w:after="150"/>
      </w:pPr>
      <w:r>
        <w:rPr>
          <w:b/>
          <w:bCs/>
        </w:rPr>
        <w:t>Visual calculations</w:t>
      </w:r>
      <w:r>
        <w:t xml:space="preserve"> (generally available as of recent Power BI releases) let you write a DAX calculation </w:t>
      </w:r>
      <w:r>
        <w:rPr>
          <w:b/>
          <w:bCs/>
        </w:rPr>
        <w:t>directly on a visual</w:t>
      </w:r>
      <w:r>
        <w:t>, rather than as a model measure or calculated column.</w:t>
      </w:r>
    </w:p>
    <w:p w14:paraId="467FC5F5" w14:textId="77777777" w:rsidR="0040359F" w:rsidRDefault="00000000">
      <w:pPr>
        <w:pStyle w:val="Heading3"/>
      </w:pPr>
      <w:bookmarkStart w:id="86" w:name="_Toc236395528"/>
      <w:r>
        <w:t>Key properties</w:t>
      </w:r>
      <w:bookmarkEnd w:id="86"/>
    </w:p>
    <w:p w14:paraId="2EDA1076" w14:textId="77777777" w:rsidR="0040359F" w:rsidRDefault="00000000">
      <w:pPr>
        <w:pStyle w:val="ListParagraph"/>
        <w:numPr>
          <w:ilvl w:val="0"/>
          <w:numId w:val="1"/>
        </w:numPr>
        <w:spacing w:after="60"/>
      </w:pPr>
      <w:r>
        <w:t xml:space="preserve">Created via the </w:t>
      </w:r>
      <w:r>
        <w:rPr>
          <w:b/>
          <w:bCs/>
        </w:rPr>
        <w:t>Calculations ribbon group → New visual calculation</w:t>
      </w:r>
      <w:r>
        <w:t xml:space="preserve"> while a table/matrix/chart visual is selected; opens an edit surface with a live preview, a formula bar, and a matrix showing results as you type.</w:t>
      </w:r>
    </w:p>
    <w:p w14:paraId="7EB64B24" w14:textId="77777777" w:rsidR="0040359F" w:rsidRDefault="00000000">
      <w:pPr>
        <w:pStyle w:val="ListParagraph"/>
        <w:numPr>
          <w:ilvl w:val="0"/>
          <w:numId w:val="1"/>
        </w:numPr>
        <w:spacing w:after="60"/>
      </w:pPr>
      <w:r>
        <w:t xml:space="preserve">A visual calculation is </w:t>
      </w:r>
      <w:r>
        <w:rPr>
          <w:b/>
          <w:bCs/>
        </w:rPr>
        <w:t>stored on the visual itself</w:t>
      </w:r>
      <w:r>
        <w:t xml:space="preserve">, not in the model — meaning it can only reference fields (columns, measures, or other visual calculations) that are </w:t>
      </w:r>
      <w:r>
        <w:rPr>
          <w:b/>
          <w:bCs/>
        </w:rPr>
        <w:t>already placed on that visual</w:t>
      </w:r>
      <w:r>
        <w:t>. It cannot reach into the wider model.</w:t>
      </w:r>
    </w:p>
    <w:p w14:paraId="326DA0D6" w14:textId="77777777" w:rsidR="0040359F" w:rsidRDefault="00000000">
      <w:pPr>
        <w:pStyle w:val="ListParagraph"/>
        <w:numPr>
          <w:ilvl w:val="0"/>
          <w:numId w:val="1"/>
        </w:numPr>
        <w:spacing w:after="60"/>
      </w:pPr>
      <w:r>
        <w:t xml:space="preserve">Because calculations evaluate row-by-row against the </w:t>
      </w:r>
      <w:r>
        <w:rPr>
          <w:b/>
          <w:bCs/>
        </w:rPr>
        <w:t>visual's own matrix</w:t>
      </w:r>
      <w:r>
        <w:t xml:space="preserve"> (not the full semantic model's filter context), functions relying on model relationships (`USERELATIONSHIP`, `RELATED`, `RELATEDTABLE`) are </w:t>
      </w:r>
      <w:r>
        <w:rPr>
          <w:b/>
          <w:bCs/>
        </w:rPr>
        <w:t>not usable</w:t>
      </w:r>
      <w:r>
        <w:t xml:space="preserve"> in visual calculations.</w:t>
      </w:r>
    </w:p>
    <w:p w14:paraId="32BFF5DA" w14:textId="77777777" w:rsidR="0040359F" w:rsidRDefault="00000000">
      <w:pPr>
        <w:pStyle w:val="ListParagraph"/>
        <w:numPr>
          <w:ilvl w:val="0"/>
          <w:numId w:val="1"/>
        </w:numPr>
        <w:spacing w:after="60"/>
      </w:pPr>
      <w:r>
        <w:t xml:space="preserve">Aggregation functions like `SUM` are typically </w:t>
      </w:r>
      <w:r>
        <w:rPr>
          <w:b/>
          <w:bCs/>
        </w:rPr>
        <w:t>unnecessary</w:t>
      </w:r>
      <w:r>
        <w:t>, since the calculation already operates on the visual's pre-aggregated row/column structure.</w:t>
      </w:r>
    </w:p>
    <w:p w14:paraId="09478A4F" w14:textId="77777777" w:rsidR="0040359F" w:rsidRDefault="00000000">
      <w:pPr>
        <w:pStyle w:val="ListParagraph"/>
        <w:numPr>
          <w:ilvl w:val="0"/>
          <w:numId w:val="1"/>
        </w:numPr>
        <w:spacing w:after="60"/>
      </w:pPr>
      <w:r>
        <w:t>Visual-calculation-specific DAX functions include `RUNNINGSUM`, `MOVINGAVERAGE`, `COLLAPSE`, `PREVIOUS`, `NEXT`, and `LOOKUP`.</w:t>
      </w:r>
    </w:p>
    <w:p w14:paraId="1891B193" w14:textId="77777777" w:rsidR="0040359F" w:rsidRDefault="00000000">
      <w:pPr>
        <w:pStyle w:val="ListParagraph"/>
        <w:numPr>
          <w:ilvl w:val="0"/>
          <w:numId w:val="1"/>
        </w:numPr>
        <w:spacing w:after="60"/>
      </w:pPr>
      <w:r>
        <w:rPr>
          <w:b/>
          <w:bCs/>
        </w:rPr>
        <w:t>Built-in templates</w:t>
      </w:r>
      <w:r>
        <w:t xml:space="preserve"> speed up common patterns: Running sum, Moving average, Percent of parent, Percent of grand total, Versus previous, Versus last.</w:t>
      </w:r>
    </w:p>
    <w:p w14:paraId="285602B6" w14:textId="77777777" w:rsidR="0040359F" w:rsidRDefault="00000000">
      <w:pPr>
        <w:pStyle w:val="ListParagraph"/>
        <w:numPr>
          <w:ilvl w:val="0"/>
          <w:numId w:val="1"/>
        </w:numPr>
        <w:spacing w:after="60"/>
      </w:pPr>
      <w:r>
        <w:rPr>
          <w:b/>
          <w:bCs/>
        </w:rPr>
        <w:t>Custom totals</w:t>
      </w:r>
      <w:r>
        <w:t>: table and matrix visuals expose visual calculations through a "Customize total calculation" experience — right-click a numeric column's total and choose Sum, Average, Min, Max, Count, Count (distinct), or None, without writing any DAX.</w:t>
      </w:r>
    </w:p>
    <w:p w14:paraId="06B2BD56" w14:textId="77777777" w:rsidR="0040359F" w:rsidRDefault="00000000">
      <w:pPr>
        <w:pStyle w:val="ListParagraph"/>
        <w:numPr>
          <w:ilvl w:val="0"/>
          <w:numId w:val="1"/>
        </w:numPr>
        <w:spacing w:after="60"/>
      </w:pPr>
      <w:r>
        <w:t xml:space="preserve">Fields used only to support a calculation can be </w:t>
      </w:r>
      <w:r>
        <w:rPr>
          <w:b/>
          <w:bCs/>
        </w:rPr>
        <w:t>hidden from the visual</w:t>
      </w:r>
      <w:r>
        <w:t xml:space="preserve"> (via the visual-calculation edit mode) while still being usable inside the calculation logic.</w:t>
      </w:r>
    </w:p>
    <w:p w14:paraId="12164F15" w14:textId="77777777" w:rsidR="0040359F" w:rsidRDefault="00000000">
      <w:pPr>
        <w:spacing w:after="150"/>
      </w:pPr>
      <w:r>
        <w:rPr>
          <w:b/>
          <w:bCs/>
        </w:rPr>
        <w:t>Case study</w:t>
      </w:r>
      <w:r>
        <w:t xml:space="preserve">: A table shows Monthly Sales by month; rather than writing a `CALCULATE`/date-table-based YTD measure in the model, a visual calculation using the "Running Sum" template is added directly on the table, referencing the existing Monthly Sales column — producing a YTD column with no DAX </w:t>
      </w:r>
      <w:proofErr w:type="spellStart"/>
      <w:r>
        <w:t>modeling</w:t>
      </w:r>
      <w:proofErr w:type="spellEnd"/>
      <w:r>
        <w:t xml:space="preserve"> knowledge required.</w:t>
      </w:r>
    </w:p>
    <w:p w14:paraId="7CE48D00" w14:textId="77777777" w:rsidR="0040359F" w:rsidRDefault="00000000">
      <w:pPr>
        <w:spacing w:after="150"/>
      </w:pPr>
      <w:r>
        <w:rPr>
          <w:b/>
          <w:bCs/>
        </w:rPr>
        <w:t>Exam framing — when to choose a visual calculation vs. a measure</w:t>
      </w:r>
      <w:r>
        <w:t xml:space="preserve">: Choose a </w:t>
      </w:r>
      <w:r>
        <w:rPr>
          <w:b/>
          <w:bCs/>
        </w:rPr>
        <w:t>measure</w:t>
      </w:r>
      <w:r>
        <w:t xml:space="preserve"> when the calculation needs to be reused across many visuals/reports or needs full model context (relationships to other tables). Choose a </w:t>
      </w:r>
      <w:r>
        <w:rPr>
          <w:b/>
          <w:bCs/>
        </w:rPr>
        <w:t>visual calculation</w:t>
      </w:r>
      <w:r>
        <w:t xml:space="preserve"> when the logic is specific to one visual's exact layout (e.g., a running total that only makes sense in the order the rows appear in that table) and you want simpler, visual-scoped DAX that's easier to maintain.</w:t>
      </w:r>
    </w:p>
    <w:p w14:paraId="670237ED" w14:textId="77777777" w:rsidR="0040359F" w:rsidRDefault="00000000">
      <w:pPr>
        <w:pStyle w:val="Heading2"/>
      </w:pPr>
      <w:bookmarkStart w:id="87" w:name="_Toc236395529"/>
      <w:r>
        <w:t>14.5 Configuring the Report Page</w:t>
      </w:r>
      <w:bookmarkEnd w:id="87"/>
    </w:p>
    <w:p w14:paraId="5B2873E9" w14:textId="77777777" w:rsidR="0040359F" w:rsidRDefault="00000000">
      <w:pPr>
        <w:spacing w:after="150"/>
      </w:pPr>
      <w:r>
        <w:t xml:space="preserve">Beyond formatting individual visuals, the </w:t>
      </w:r>
      <w:r>
        <w:rPr>
          <w:b/>
          <w:bCs/>
        </w:rPr>
        <w:t>report page itself</w:t>
      </w:r>
      <w:r>
        <w:t xml:space="preserve"> has configurable properties (select an empty area of the canvas, then use the Format pane):</w:t>
      </w:r>
    </w:p>
    <w:p w14:paraId="39F3924D" w14:textId="77777777" w:rsidR="0040359F" w:rsidRDefault="00000000">
      <w:pPr>
        <w:pStyle w:val="ListParagraph"/>
        <w:numPr>
          <w:ilvl w:val="0"/>
          <w:numId w:val="1"/>
        </w:numPr>
        <w:spacing w:after="60"/>
      </w:pPr>
      <w:r>
        <w:rPr>
          <w:b/>
          <w:bCs/>
        </w:rPr>
        <w:t>Canvas settings</w:t>
      </w:r>
      <w:r>
        <w:t>: Page size (16:9, 4:3, Letter, Tooltip, Custom — with explicit pixel width/height), and page background/wallpaper (</w:t>
      </w:r>
      <w:proofErr w:type="spellStart"/>
      <w:r>
        <w:t>color</w:t>
      </w:r>
      <w:proofErr w:type="spellEnd"/>
      <w:r>
        <w:t>, image, transparency).</w:t>
      </w:r>
    </w:p>
    <w:p w14:paraId="504079F3" w14:textId="77777777" w:rsidR="0040359F" w:rsidRDefault="00000000">
      <w:pPr>
        <w:pStyle w:val="ListParagraph"/>
        <w:numPr>
          <w:ilvl w:val="0"/>
          <w:numId w:val="1"/>
        </w:numPr>
        <w:spacing w:after="60"/>
      </w:pPr>
      <w:r>
        <w:rPr>
          <w:b/>
          <w:bCs/>
        </w:rPr>
        <w:t>Page information</w:t>
      </w:r>
      <w:r>
        <w:t>: Page name, visibility (hide a page from the nav bar while still allowing bookmark/</w:t>
      </w:r>
      <w:proofErr w:type="spellStart"/>
      <w:r>
        <w:t>drillthrough</w:t>
      </w:r>
      <w:proofErr w:type="spellEnd"/>
      <w:r>
        <w:t xml:space="preserve"> navigation to it), and the "Allow use as tooltip" toggle (Part 6.3).</w:t>
      </w:r>
    </w:p>
    <w:p w14:paraId="54934148" w14:textId="77777777" w:rsidR="0040359F" w:rsidRDefault="00000000">
      <w:pPr>
        <w:pStyle w:val="ListParagraph"/>
        <w:numPr>
          <w:ilvl w:val="0"/>
          <w:numId w:val="1"/>
        </w:numPr>
        <w:spacing w:after="60"/>
      </w:pPr>
      <w:r>
        <w:rPr>
          <w:b/>
          <w:bCs/>
        </w:rPr>
        <w:t>Vertical (mobile-optimized) page layout toggle</w:t>
      </w:r>
      <w:r>
        <w:t>, discussed further in 14.7.</w:t>
      </w:r>
    </w:p>
    <w:p w14:paraId="303C577A" w14:textId="77777777" w:rsidR="0040359F" w:rsidRDefault="00000000">
      <w:pPr>
        <w:pStyle w:val="ListParagraph"/>
        <w:numPr>
          <w:ilvl w:val="0"/>
          <w:numId w:val="1"/>
        </w:numPr>
        <w:spacing w:after="60"/>
      </w:pPr>
      <w:r>
        <w:rPr>
          <w:b/>
          <w:bCs/>
        </w:rPr>
        <w:t>Filters</w:t>
      </w:r>
      <w:r>
        <w:t xml:space="preserve"> applied at the "all pages" or "this page" scope (Part 4.1).</w:t>
      </w:r>
    </w:p>
    <w:p w14:paraId="15F4A184" w14:textId="77777777" w:rsidR="0040359F" w:rsidRDefault="00000000">
      <w:pPr>
        <w:pStyle w:val="Heading2"/>
      </w:pPr>
      <w:bookmarkStart w:id="88" w:name="_Toc236395530"/>
      <w:r>
        <w:lastRenderedPageBreak/>
        <w:t>14.6 Configuring Export Settings</w:t>
      </w:r>
      <w:bookmarkEnd w:id="88"/>
    </w:p>
    <w:p w14:paraId="64E4EF49" w14:textId="77777777" w:rsidR="0040359F" w:rsidRDefault="00000000">
      <w:pPr>
        <w:spacing w:after="150"/>
      </w:pPr>
      <w:r>
        <w:t xml:space="preserve">Report authors can control what report consumers are permitted to export, via </w:t>
      </w:r>
      <w:r>
        <w:rPr>
          <w:b/>
          <w:bCs/>
        </w:rPr>
        <w:t>File → Options and settings → Options → Report settings</w:t>
      </w:r>
      <w:r>
        <w:t xml:space="preserve"> (or admin-level tenant settings in the Service):</w:t>
      </w:r>
    </w:p>
    <w:p w14:paraId="3DBCB569" w14:textId="77777777" w:rsidR="0040359F" w:rsidRDefault="00000000">
      <w:pPr>
        <w:pStyle w:val="ListParagraph"/>
        <w:numPr>
          <w:ilvl w:val="0"/>
          <w:numId w:val="1"/>
        </w:numPr>
        <w:spacing w:after="60"/>
      </w:pPr>
      <w:r>
        <w:t xml:space="preserve">Export to </w:t>
      </w:r>
      <w:r>
        <w:rPr>
          <w:b/>
          <w:bCs/>
        </w:rPr>
        <w:t>PDF, PowerPoint, Excel</w:t>
      </w:r>
      <w:r>
        <w:t>.</w:t>
      </w:r>
    </w:p>
    <w:p w14:paraId="0B885A95" w14:textId="77777777" w:rsidR="0040359F" w:rsidRDefault="00000000">
      <w:pPr>
        <w:pStyle w:val="ListParagraph"/>
        <w:numPr>
          <w:ilvl w:val="0"/>
          <w:numId w:val="1"/>
        </w:numPr>
        <w:spacing w:after="60"/>
      </w:pPr>
      <w:r>
        <w:rPr>
          <w:b/>
          <w:bCs/>
        </w:rPr>
        <w:t>Export underlying data</w:t>
      </w:r>
      <w:r>
        <w:t xml:space="preserve"> — a particularly sensitive toggle, since allowing "Export data" lets a viewer pull the exact rows behind a visual (subject to any row-level security still applying), which has real data-governance implications and is a common exam "which setting controls this risk" scenario.</w:t>
      </w:r>
    </w:p>
    <w:p w14:paraId="0907CD04" w14:textId="77777777" w:rsidR="0040359F" w:rsidRDefault="00000000">
      <w:pPr>
        <w:pStyle w:val="ListParagraph"/>
        <w:numPr>
          <w:ilvl w:val="0"/>
          <w:numId w:val="1"/>
        </w:numPr>
        <w:spacing w:after="60"/>
      </w:pPr>
      <w:r>
        <w:t xml:space="preserve">These settings can be governed at the </w:t>
      </w:r>
      <w:r>
        <w:rPr>
          <w:b/>
          <w:bCs/>
        </w:rPr>
        <w:t>tenant admin level</w:t>
      </w:r>
      <w:r>
        <w:t xml:space="preserve"> in the Power BI Service (overriding or restricting what report authors can enable) as well as at the individual report level.</w:t>
      </w:r>
    </w:p>
    <w:p w14:paraId="0B50BF7D" w14:textId="77777777" w:rsidR="0040359F" w:rsidRDefault="00000000">
      <w:pPr>
        <w:pStyle w:val="Heading2"/>
      </w:pPr>
      <w:bookmarkStart w:id="89" w:name="_Toc236395531"/>
      <w:r>
        <w:t>14.7 Designing Reports for Mobile Devices</w:t>
      </w:r>
      <w:bookmarkEnd w:id="89"/>
    </w:p>
    <w:p w14:paraId="33CED842" w14:textId="77777777" w:rsidR="0040359F" w:rsidRDefault="00000000">
      <w:pPr>
        <w:spacing w:after="150"/>
      </w:pPr>
      <w:r>
        <w:t xml:space="preserve">Power BI Desktop includes a separate </w:t>
      </w:r>
      <w:r>
        <w:rPr>
          <w:b/>
          <w:bCs/>
        </w:rPr>
        <w:t>Mobile layout</w:t>
      </w:r>
      <w:r>
        <w:t xml:space="preserve"> view (View ribbon → Mobile Layout, or the phone icon in the canvas view switcher) that lets authors build a </w:t>
      </w:r>
      <w:r>
        <w:rPr>
          <w:b/>
          <w:bCs/>
        </w:rPr>
        <w:t>dedicated vertical, scrolling layout</w:t>
      </w:r>
      <w:r>
        <w:t xml:space="preserve"> for a report page, independent of the standard desktop canvas layout.</w:t>
      </w:r>
    </w:p>
    <w:p w14:paraId="214B1825" w14:textId="77777777" w:rsidR="0040359F" w:rsidRDefault="00000000">
      <w:pPr>
        <w:pStyle w:val="ListParagraph"/>
        <w:numPr>
          <w:ilvl w:val="0"/>
          <w:numId w:val="1"/>
        </w:numPr>
        <w:spacing w:after="60"/>
      </w:pPr>
      <w:r>
        <w:t>Visuals from the desktop layout are dragged from a side tray into the vertical mobile canvas and resized/reordered specifically for a phone-sized, single-column scrolling experience.</w:t>
      </w:r>
    </w:p>
    <w:p w14:paraId="58EA17CF" w14:textId="77777777" w:rsidR="0040359F" w:rsidRDefault="00000000">
      <w:pPr>
        <w:pStyle w:val="ListParagraph"/>
        <w:numPr>
          <w:ilvl w:val="0"/>
          <w:numId w:val="1"/>
        </w:numPr>
        <w:spacing w:after="60"/>
      </w:pPr>
      <w:r>
        <w:t xml:space="preserve">If </w:t>
      </w:r>
      <w:r>
        <w:rPr>
          <w:b/>
          <w:bCs/>
        </w:rPr>
        <w:t>no mobile layout is defined</w:t>
      </w:r>
      <w:r>
        <w:t xml:space="preserve"> for a page, the Power BI mobile app falls back to auto-generating a basic vertical arrangement of the desktop visuals, which is often suboptimal (small, cramped visuals) — a key reason authors are tested on knowing this feature exists and should be used deliberately for reports viewed on phones.</w:t>
      </w:r>
    </w:p>
    <w:p w14:paraId="27A04E45" w14:textId="77777777" w:rsidR="0040359F" w:rsidRDefault="00000000">
      <w:pPr>
        <w:pStyle w:val="ListParagraph"/>
        <w:numPr>
          <w:ilvl w:val="0"/>
          <w:numId w:val="1"/>
        </w:numPr>
        <w:spacing w:after="60"/>
      </w:pPr>
      <w:r>
        <w:t>Not every visual needs to appear in the mobile layout — authors can deliberately omit visuals not relevant to an on-the-go mobile scenario.</w:t>
      </w:r>
    </w:p>
    <w:p w14:paraId="4BE78063" w14:textId="77777777" w:rsidR="0040359F" w:rsidRDefault="00000000">
      <w:pPr>
        <w:pStyle w:val="Heading2"/>
      </w:pPr>
      <w:bookmarkStart w:id="90" w:name="_Toc236395532"/>
      <w:r>
        <w:t>14.8 Enabling Personalization in a Report</w:t>
      </w:r>
      <w:bookmarkEnd w:id="90"/>
    </w:p>
    <w:p w14:paraId="0B352F35" w14:textId="77777777" w:rsidR="0040359F" w:rsidRDefault="00000000">
      <w:pPr>
        <w:spacing w:after="150"/>
      </w:pPr>
      <w:r>
        <w:rPr>
          <w:b/>
          <w:bCs/>
        </w:rPr>
        <w:t>Report personalization</w:t>
      </w:r>
      <w:r>
        <w:t xml:space="preserve"> (also called "Personalize visuals") is a Power BI Service (and Desktop, for authoring/testing) feature letting </w:t>
      </w:r>
      <w:r>
        <w:rPr>
          <w:b/>
          <w:bCs/>
        </w:rPr>
        <w:t>report consumers</w:t>
      </w:r>
      <w:r>
        <w:t xml:space="preserve"> temporarily customize a visual for their own view session — e.g., swapping which measure a bar chart shows, or changing the chart type — </w:t>
      </w:r>
      <w:r>
        <w:rPr>
          <w:b/>
          <w:bCs/>
        </w:rPr>
        <w:t>without altering the underlying report for other users</w:t>
      </w:r>
      <w:r>
        <w:t xml:space="preserve"> and without requiring edit permissions on the report itself.</w:t>
      </w:r>
    </w:p>
    <w:p w14:paraId="1260C48C" w14:textId="77777777" w:rsidR="0040359F" w:rsidRDefault="00000000">
      <w:pPr>
        <w:pStyle w:val="ListParagraph"/>
        <w:numPr>
          <w:ilvl w:val="0"/>
          <w:numId w:val="1"/>
        </w:numPr>
        <w:spacing w:after="60"/>
      </w:pPr>
      <w:r>
        <w:t xml:space="preserve">Enabled by the report author via </w:t>
      </w:r>
      <w:r>
        <w:rPr>
          <w:b/>
          <w:bCs/>
        </w:rPr>
        <w:t>File → Options and settings → Options → Report settings → "Personalize visuals"</w:t>
      </w:r>
      <w:r>
        <w:t>.</w:t>
      </w:r>
    </w:p>
    <w:p w14:paraId="2560DC7E" w14:textId="77777777" w:rsidR="0040359F" w:rsidRDefault="00000000">
      <w:pPr>
        <w:pStyle w:val="ListParagraph"/>
        <w:numPr>
          <w:ilvl w:val="0"/>
          <w:numId w:val="1"/>
        </w:numPr>
        <w:spacing w:after="60"/>
      </w:pPr>
      <w:r>
        <w:t xml:space="preserve">End users access it via a </w:t>
      </w:r>
      <w:r>
        <w:rPr>
          <w:b/>
          <w:bCs/>
        </w:rPr>
        <w:t>paint-roller/personalize icon</w:t>
      </w:r>
      <w:r>
        <w:t xml:space="preserve"> that appears on enabled visuals when hovered, opening a lightweight pane to swap fields, measure, or visual type.</w:t>
      </w:r>
    </w:p>
    <w:p w14:paraId="0FF79901" w14:textId="77777777" w:rsidR="0040359F" w:rsidRDefault="00000000">
      <w:pPr>
        <w:pStyle w:val="ListParagraph"/>
        <w:numPr>
          <w:ilvl w:val="0"/>
          <w:numId w:val="1"/>
        </w:numPr>
        <w:spacing w:after="60"/>
      </w:pPr>
      <w:r>
        <w:t xml:space="preserve">Personalized changes are </w:t>
      </w:r>
      <w:r>
        <w:rPr>
          <w:b/>
          <w:bCs/>
        </w:rPr>
        <w:t>session-based by default</w:t>
      </w:r>
      <w:r>
        <w:t xml:space="preserve"> (reset when the report is reopened) unless the user explicitly saves a personal bookmark/view, depending on tenant configuration.</w:t>
      </w:r>
    </w:p>
    <w:p w14:paraId="28B57CED" w14:textId="77777777" w:rsidR="0040359F" w:rsidRDefault="00000000">
      <w:pPr>
        <w:pStyle w:val="ListParagraph"/>
        <w:numPr>
          <w:ilvl w:val="0"/>
          <w:numId w:val="1"/>
        </w:numPr>
        <w:spacing w:after="60"/>
      </w:pPr>
      <w:r>
        <w:rPr>
          <w:b/>
          <w:bCs/>
        </w:rPr>
        <w:t>Exam framing</w:t>
      </w:r>
      <w:r>
        <w:t>: This is the mechanism for "let end users tweak a chart without giving them report-edit rights" — a common scenario question distinguishing it from full Edit access or from Q&amp;A (which creates a brand-new ad hoc visual entirely, not a personalized version of an existing one).</w:t>
      </w:r>
    </w:p>
    <w:p w14:paraId="4731A96A" w14:textId="77777777" w:rsidR="00C819E4" w:rsidRDefault="00C819E4" w:rsidP="00C819E4">
      <w:pPr>
        <w:spacing w:after="60"/>
      </w:pPr>
    </w:p>
    <w:p w14:paraId="6D156C0E" w14:textId="77777777" w:rsidR="00C819E4" w:rsidRDefault="00C819E4" w:rsidP="00C819E4">
      <w:pPr>
        <w:spacing w:after="60"/>
      </w:pPr>
    </w:p>
    <w:p w14:paraId="4ACF2608" w14:textId="77777777" w:rsidR="00C819E4" w:rsidRDefault="00C819E4" w:rsidP="00C819E4">
      <w:pPr>
        <w:spacing w:after="60"/>
      </w:pPr>
    </w:p>
    <w:p w14:paraId="74347ECA" w14:textId="77777777" w:rsidR="00C819E4" w:rsidRDefault="00C819E4" w:rsidP="00C819E4">
      <w:pPr>
        <w:spacing w:after="60"/>
      </w:pPr>
    </w:p>
    <w:p w14:paraId="01BB0FEF" w14:textId="77777777" w:rsidR="00C819E4" w:rsidRDefault="00C819E4" w:rsidP="00C819E4">
      <w:pPr>
        <w:spacing w:after="60"/>
      </w:pPr>
    </w:p>
    <w:p w14:paraId="2B1451AD" w14:textId="77777777" w:rsidR="00C819E4" w:rsidRDefault="00C819E4" w:rsidP="00C819E4">
      <w:pPr>
        <w:spacing w:after="60"/>
      </w:pPr>
    </w:p>
    <w:p w14:paraId="55866777" w14:textId="77777777" w:rsidR="0040359F" w:rsidRDefault="00000000">
      <w:pPr>
        <w:pStyle w:val="Heading2"/>
      </w:pPr>
      <w:bookmarkStart w:id="91" w:name="_Toc236395533"/>
      <w:r>
        <w:lastRenderedPageBreak/>
        <w:t>14.9 Designing and Configuring Power BI Reports for Accessibility</w:t>
      </w:r>
      <w:bookmarkEnd w:id="91"/>
    </w:p>
    <w:p w14:paraId="203C1221" w14:textId="77777777" w:rsidR="0040359F" w:rsidRDefault="00000000">
      <w:pPr>
        <w:spacing w:after="150"/>
      </w:pPr>
      <w:r>
        <w:t xml:space="preserve">Accessibility is an explicit, testable skill area covering how a report performs for users relying on screen readers, keyboard-only navigation, or those with visual impairments (e.g., </w:t>
      </w:r>
      <w:proofErr w:type="spellStart"/>
      <w:r>
        <w:t>color</w:t>
      </w:r>
      <w:proofErr w:type="spellEnd"/>
      <w:r>
        <w:t xml:space="preserve"> blindness):</w:t>
      </w:r>
    </w:p>
    <w:p w14:paraId="3B9043EC" w14:textId="77777777" w:rsidR="0040359F" w:rsidRDefault="00000000">
      <w:pPr>
        <w:pStyle w:val="ListParagraph"/>
        <w:numPr>
          <w:ilvl w:val="0"/>
          <w:numId w:val="1"/>
        </w:numPr>
        <w:spacing w:after="60"/>
      </w:pPr>
      <w:r>
        <w:rPr>
          <w:b/>
          <w:bCs/>
        </w:rPr>
        <w:t>Alt text</w:t>
      </w:r>
      <w:r>
        <w:t>: Every visual should have meaningful alt text (Part 2.2), which can be static or dynamically generated from a measure/expression so it updates with the data.</w:t>
      </w:r>
    </w:p>
    <w:p w14:paraId="288A7699" w14:textId="77777777" w:rsidR="0040359F" w:rsidRDefault="00000000">
      <w:pPr>
        <w:pStyle w:val="ListParagraph"/>
        <w:numPr>
          <w:ilvl w:val="0"/>
          <w:numId w:val="1"/>
        </w:numPr>
        <w:spacing w:after="60"/>
      </w:pPr>
      <w:r>
        <w:rPr>
          <w:b/>
          <w:bCs/>
        </w:rPr>
        <w:t>Tab order</w:t>
      </w:r>
      <w:r>
        <w:t xml:space="preserve">: The Selection pane (Part 5.4) also controls the </w:t>
      </w:r>
      <w:r>
        <w:rPr>
          <w:b/>
          <w:bCs/>
        </w:rPr>
        <w:t>tab order</w:t>
      </w:r>
      <w:r>
        <w:t xml:space="preserve"> report — a separate view accessible from the Selection pane's "..." menu — letting authors define the sequence in which a screen reader or keyboard (Tab key) user moves through visuals on a page, which should follow a logical reading order (not just the order visuals were created).</w:t>
      </w:r>
    </w:p>
    <w:p w14:paraId="62F49875" w14:textId="77777777" w:rsidR="0040359F" w:rsidRDefault="00000000">
      <w:pPr>
        <w:pStyle w:val="ListParagraph"/>
        <w:numPr>
          <w:ilvl w:val="0"/>
          <w:numId w:val="1"/>
        </w:numPr>
        <w:spacing w:after="60"/>
      </w:pPr>
      <w:proofErr w:type="spellStart"/>
      <w:r>
        <w:rPr>
          <w:b/>
          <w:bCs/>
        </w:rPr>
        <w:t>Color</w:t>
      </w:r>
      <w:proofErr w:type="spellEnd"/>
      <w:r>
        <w:rPr>
          <w:b/>
          <w:bCs/>
        </w:rPr>
        <w:t xml:space="preserve"> contrast and </w:t>
      </w:r>
      <w:proofErr w:type="spellStart"/>
      <w:r>
        <w:rPr>
          <w:b/>
          <w:bCs/>
        </w:rPr>
        <w:t>color-blind</w:t>
      </w:r>
      <w:proofErr w:type="spellEnd"/>
      <w:r>
        <w:rPr>
          <w:b/>
          <w:bCs/>
        </w:rPr>
        <w:t>-safe palettes</w:t>
      </w:r>
      <w:r>
        <w:t xml:space="preserve">: Avoid relying on </w:t>
      </w:r>
      <w:proofErr w:type="spellStart"/>
      <w:r>
        <w:t>color</w:t>
      </w:r>
      <w:proofErr w:type="spellEnd"/>
      <w:r>
        <w:t xml:space="preserve"> alone to convey meaning (e.g., pairing </w:t>
      </w:r>
      <w:proofErr w:type="spellStart"/>
      <w:r>
        <w:t>color</w:t>
      </w:r>
      <w:proofErr w:type="spellEnd"/>
      <w:r>
        <w:t xml:space="preserve"> with icons/patterns/labels); use theme </w:t>
      </w:r>
      <w:proofErr w:type="spellStart"/>
      <w:r>
        <w:t>colors</w:t>
      </w:r>
      <w:proofErr w:type="spellEnd"/>
      <w:r>
        <w:t xml:space="preserve"> with sufficient contrast against backgrounds.</w:t>
      </w:r>
    </w:p>
    <w:p w14:paraId="5C89A847" w14:textId="77777777" w:rsidR="0040359F" w:rsidRDefault="00000000">
      <w:pPr>
        <w:pStyle w:val="ListParagraph"/>
        <w:numPr>
          <w:ilvl w:val="0"/>
          <w:numId w:val="1"/>
        </w:numPr>
        <w:spacing w:after="60"/>
      </w:pPr>
      <w:r>
        <w:rPr>
          <w:b/>
          <w:bCs/>
        </w:rPr>
        <w:t>Titles and reading order</w:t>
      </w:r>
      <w:r>
        <w:t>: Every visual should have a clear, descriptive title, since screen readers announce visual titles as users navigate.</w:t>
      </w:r>
    </w:p>
    <w:p w14:paraId="28099B96" w14:textId="77777777" w:rsidR="0040359F" w:rsidRDefault="00000000">
      <w:pPr>
        <w:pStyle w:val="ListParagraph"/>
        <w:numPr>
          <w:ilvl w:val="0"/>
          <w:numId w:val="1"/>
        </w:numPr>
        <w:spacing w:after="60"/>
      </w:pPr>
      <w:r>
        <w:rPr>
          <w:b/>
          <w:bCs/>
        </w:rPr>
        <w:t>Keyboard navigation</w:t>
      </w:r>
      <w:r>
        <w:t>: Reports should be fully operable via keyboard alone (Tab/Enter/Arrow keys) for slicers, buttons, and visual interactions, without requiring a mouse.</w:t>
      </w:r>
    </w:p>
    <w:p w14:paraId="13A2A3A2" w14:textId="77777777" w:rsidR="0040359F" w:rsidRDefault="00000000">
      <w:pPr>
        <w:pStyle w:val="ListParagraph"/>
        <w:numPr>
          <w:ilvl w:val="0"/>
          <w:numId w:val="1"/>
        </w:numPr>
        <w:spacing w:after="60"/>
      </w:pPr>
      <w:r>
        <w:rPr>
          <w:b/>
          <w:bCs/>
        </w:rPr>
        <w:t>Table/matrix accessibility</w:t>
      </w:r>
      <w:r>
        <w:t>: These visuals are generally more screen-reader-friendly than free-form charts because their grid structure maps naturally to assistive technology; consider providing a table view or "View as a table" alternative to complex visuals for accessibility-critical reports.</w:t>
      </w:r>
    </w:p>
    <w:p w14:paraId="616C4508" w14:textId="77777777" w:rsidR="0040359F" w:rsidRDefault="00000000">
      <w:pPr>
        <w:pStyle w:val="Heading2"/>
      </w:pPr>
      <w:bookmarkStart w:id="92" w:name="_Toc236395534"/>
      <w:r>
        <w:t>14.10 Configuring Automatic Page Refresh</w:t>
      </w:r>
      <w:bookmarkEnd w:id="92"/>
    </w:p>
    <w:p w14:paraId="11A1332E" w14:textId="77777777" w:rsidR="0040359F" w:rsidRDefault="00000000">
      <w:pPr>
        <w:spacing w:after="150"/>
      </w:pPr>
      <w:r>
        <w:rPr>
          <w:b/>
          <w:bCs/>
        </w:rPr>
        <w:t>Automatic page refresh</w:t>
      </w:r>
      <w:r>
        <w:t xml:space="preserve"> re-queries and re-renders a report page on a fixed interval, or in response to a </w:t>
      </w:r>
      <w:r>
        <w:rPr>
          <w:b/>
          <w:bCs/>
        </w:rPr>
        <w:t>change-detection</w:t>
      </w:r>
      <w:r>
        <w:t xml:space="preserve"> measure </w:t>
      </w:r>
      <w:proofErr w:type="spellStart"/>
      <w:r>
        <w:t>signaling</w:t>
      </w:r>
      <w:proofErr w:type="spellEnd"/>
      <w:r>
        <w:t xml:space="preserve"> new data — used for near-real-time dashboards (e.g., a live operations monitor).</w:t>
      </w:r>
    </w:p>
    <w:p w14:paraId="70351512" w14:textId="77777777" w:rsidR="0040359F" w:rsidRDefault="00000000">
      <w:pPr>
        <w:pStyle w:val="ListParagraph"/>
        <w:numPr>
          <w:ilvl w:val="0"/>
          <w:numId w:val="1"/>
        </w:numPr>
        <w:spacing w:after="60"/>
      </w:pPr>
      <w:r>
        <w:t xml:space="preserve">Configured per-page via the Format pane (select an empty canvas area) → </w:t>
      </w:r>
      <w:r>
        <w:rPr>
          <w:b/>
          <w:bCs/>
        </w:rPr>
        <w:t>Page refresh</w:t>
      </w:r>
      <w:r>
        <w:t xml:space="preserve"> section.</w:t>
      </w:r>
    </w:p>
    <w:p w14:paraId="3F763792" w14:textId="77777777" w:rsidR="0040359F" w:rsidRDefault="00000000">
      <w:pPr>
        <w:pStyle w:val="ListParagraph"/>
        <w:numPr>
          <w:ilvl w:val="0"/>
          <w:numId w:val="1"/>
        </w:numPr>
        <w:spacing w:after="60"/>
      </w:pPr>
      <w:r>
        <w:t>Two modes:</w:t>
      </w:r>
    </w:p>
    <w:p w14:paraId="353EA266" w14:textId="77777777" w:rsidR="0040359F" w:rsidRDefault="00000000">
      <w:pPr>
        <w:pStyle w:val="ListParagraph"/>
        <w:numPr>
          <w:ilvl w:val="0"/>
          <w:numId w:val="1"/>
        </w:numPr>
        <w:spacing w:after="60"/>
      </w:pPr>
      <w:r>
        <w:rPr>
          <w:b/>
          <w:bCs/>
        </w:rPr>
        <w:t>Fixed interval</w:t>
      </w:r>
      <w:r>
        <w:t>: Refreshes every N seconds/minutes/hours (minimum interval enforced depends on the workspace's Premium/Fabric capacity settings and admin-configured minimum refresh interval — Pro/shared capacity workspaces have longer enforced minimums than Premium capacity).</w:t>
      </w:r>
    </w:p>
    <w:p w14:paraId="3EE8EC09" w14:textId="77777777" w:rsidR="0040359F" w:rsidRDefault="00000000">
      <w:pPr>
        <w:pStyle w:val="ListParagraph"/>
        <w:numPr>
          <w:ilvl w:val="0"/>
          <w:numId w:val="1"/>
        </w:numPr>
        <w:spacing w:after="60"/>
      </w:pPr>
      <w:r>
        <w:rPr>
          <w:b/>
          <w:bCs/>
        </w:rPr>
        <w:t>Change detection</w:t>
      </w:r>
      <w:r>
        <w:t>: A lightweight DAX measure is polled frequently and cheaply; the full page only re-renders when that measure's value actually changes, reducing unnecessary load compared to blind fixed-interval refreshing.</w:t>
      </w:r>
    </w:p>
    <w:p w14:paraId="08B3EBF7" w14:textId="77777777" w:rsidR="0040359F" w:rsidRDefault="00000000">
      <w:pPr>
        <w:pStyle w:val="ListParagraph"/>
        <w:numPr>
          <w:ilvl w:val="0"/>
          <w:numId w:val="1"/>
        </w:numPr>
        <w:spacing w:after="60"/>
      </w:pPr>
      <w:r>
        <w:t xml:space="preserve">Requires a </w:t>
      </w:r>
      <w:proofErr w:type="spellStart"/>
      <w:r>
        <w:rPr>
          <w:b/>
          <w:bCs/>
        </w:rPr>
        <w:t>DirectQuery</w:t>
      </w:r>
      <w:proofErr w:type="spellEnd"/>
      <w:r>
        <w:rPr>
          <w:b/>
          <w:bCs/>
        </w:rPr>
        <w:t xml:space="preserve">, Live Connection, or </w:t>
      </w:r>
      <w:proofErr w:type="spellStart"/>
      <w:r>
        <w:rPr>
          <w:b/>
          <w:bCs/>
        </w:rPr>
        <w:t>DirectLake</w:t>
      </w:r>
      <w:proofErr w:type="spellEnd"/>
      <w:r>
        <w:t xml:space="preserve"> data source (import mode data doesn't have new data arriving between scheduled model refreshes, so page refresh has nothing new to show) — a frequently tested prerequisite.</w:t>
      </w:r>
    </w:p>
    <w:p w14:paraId="5C8CAE0A" w14:textId="77777777" w:rsidR="00C819E4" w:rsidRDefault="00C819E4" w:rsidP="00C819E4">
      <w:pPr>
        <w:spacing w:after="60"/>
      </w:pPr>
    </w:p>
    <w:p w14:paraId="38D4A223" w14:textId="77777777" w:rsidR="00C819E4" w:rsidRDefault="00C819E4" w:rsidP="00C819E4">
      <w:pPr>
        <w:spacing w:after="60"/>
      </w:pPr>
    </w:p>
    <w:p w14:paraId="330C31F2" w14:textId="77777777" w:rsidR="00C819E4" w:rsidRDefault="00C819E4" w:rsidP="00C819E4">
      <w:pPr>
        <w:spacing w:after="60"/>
      </w:pPr>
    </w:p>
    <w:p w14:paraId="7FE8716C" w14:textId="77777777" w:rsidR="00C819E4" w:rsidRDefault="00C819E4" w:rsidP="00C819E4">
      <w:pPr>
        <w:spacing w:after="60"/>
      </w:pPr>
    </w:p>
    <w:p w14:paraId="07DC8EF9" w14:textId="77777777" w:rsidR="00C819E4" w:rsidRDefault="00C819E4" w:rsidP="00C819E4">
      <w:pPr>
        <w:spacing w:after="60"/>
      </w:pPr>
    </w:p>
    <w:p w14:paraId="3F0F437D" w14:textId="77777777" w:rsidR="00C819E4" w:rsidRDefault="00C819E4" w:rsidP="00C819E4">
      <w:pPr>
        <w:spacing w:after="60"/>
      </w:pPr>
    </w:p>
    <w:p w14:paraId="580F94DA" w14:textId="77777777" w:rsidR="00C819E4" w:rsidRDefault="00C819E4" w:rsidP="00C819E4">
      <w:pPr>
        <w:spacing w:after="60"/>
      </w:pPr>
    </w:p>
    <w:p w14:paraId="078EEE9E" w14:textId="77777777" w:rsidR="00C819E4" w:rsidRDefault="00C819E4" w:rsidP="00C819E4">
      <w:pPr>
        <w:spacing w:after="60"/>
      </w:pPr>
    </w:p>
    <w:p w14:paraId="148AC318" w14:textId="77777777" w:rsidR="00C819E4" w:rsidRDefault="00C819E4" w:rsidP="00C819E4">
      <w:pPr>
        <w:spacing w:after="60"/>
      </w:pPr>
    </w:p>
    <w:p w14:paraId="1C7ABABF" w14:textId="77777777" w:rsidR="00C819E4" w:rsidRDefault="00C819E4" w:rsidP="00C819E4">
      <w:pPr>
        <w:spacing w:after="60"/>
      </w:pPr>
    </w:p>
    <w:p w14:paraId="79701C46" w14:textId="77777777" w:rsidR="0040359F" w:rsidRDefault="00000000">
      <w:pPr>
        <w:pStyle w:val="Heading2"/>
      </w:pPr>
      <w:bookmarkStart w:id="93" w:name="_Toc236395535"/>
      <w:r>
        <w:lastRenderedPageBreak/>
        <w:t>14.11 Grouping and Binning (Distinct from Clustering)</w:t>
      </w:r>
      <w:bookmarkEnd w:id="93"/>
    </w:p>
    <w:p w14:paraId="5CF99673" w14:textId="77777777" w:rsidR="0040359F" w:rsidRDefault="00000000">
      <w:pPr>
        <w:spacing w:after="150"/>
      </w:pPr>
      <w:r>
        <w:t>Grouping and binning are simpler, deterministic ways to create new categorical fields from existing data — as opposed to the machine-learning-driven clustering covered in Part 11.2.</w:t>
      </w:r>
    </w:p>
    <w:p w14:paraId="6E0D9EB4" w14:textId="77777777" w:rsidR="0040359F" w:rsidRDefault="00000000">
      <w:pPr>
        <w:pStyle w:val="Heading3"/>
      </w:pPr>
      <w:bookmarkStart w:id="94" w:name="_Toc236395536"/>
      <w:r>
        <w:t>Grouping</w:t>
      </w:r>
      <w:bookmarkEnd w:id="94"/>
    </w:p>
    <w:p w14:paraId="1B8E52EF" w14:textId="77777777" w:rsidR="0040359F" w:rsidRDefault="00000000">
      <w:pPr>
        <w:spacing w:after="150"/>
      </w:pPr>
      <w:r>
        <w:t xml:space="preserve">Right-click a field (or select multiple data points on a visual and right-click) → </w:t>
      </w:r>
      <w:r>
        <w:rPr>
          <w:b/>
          <w:bCs/>
        </w:rPr>
        <w:t>Group</w:t>
      </w:r>
      <w:r>
        <w:t xml:space="preserve"> lets you manually combine specific values into custom categories. For example, grouping many individual countries into "North America," "EMEA," and "APAC" buckets directly from the field's existing values, without needing a source-data change or a calculated column. This creates a new </w:t>
      </w:r>
      <w:r>
        <w:rPr>
          <w:b/>
          <w:bCs/>
        </w:rPr>
        <w:t>Groups</w:t>
      </w:r>
      <w:r>
        <w:t xml:space="preserve"> field in the Fields pane.</w:t>
      </w:r>
    </w:p>
    <w:p w14:paraId="3E1051E6" w14:textId="77777777" w:rsidR="0040359F" w:rsidRDefault="00000000">
      <w:pPr>
        <w:pStyle w:val="Heading3"/>
      </w:pPr>
      <w:bookmarkStart w:id="95" w:name="_Toc236395537"/>
      <w:r>
        <w:t>Binning</w:t>
      </w:r>
      <w:bookmarkEnd w:id="95"/>
    </w:p>
    <w:p w14:paraId="1322AB71" w14:textId="77777777" w:rsidR="0040359F" w:rsidRDefault="00000000">
      <w:pPr>
        <w:spacing w:after="150"/>
      </w:pPr>
      <w:r>
        <w:t xml:space="preserve">Right-click a </w:t>
      </w:r>
      <w:r>
        <w:rPr>
          <w:b/>
          <w:bCs/>
        </w:rPr>
        <w:t>numeric or date/time field</w:t>
      </w:r>
      <w:r>
        <w:t xml:space="preserve"> → </w:t>
      </w:r>
      <w:r>
        <w:rPr>
          <w:b/>
          <w:bCs/>
        </w:rPr>
        <w:t>New group</w:t>
      </w:r>
      <w:r>
        <w:t xml:space="preserve"> (or </w:t>
      </w:r>
      <w:r>
        <w:rPr>
          <w:b/>
          <w:bCs/>
        </w:rPr>
        <w:t>Group</w:t>
      </w:r>
      <w:r>
        <w:t xml:space="preserve"> from the visual) → choose </w:t>
      </w:r>
      <w:r>
        <w:rPr>
          <w:b/>
          <w:bCs/>
        </w:rPr>
        <w:t>Bin</w:t>
      </w:r>
      <w:r>
        <w:t xml:space="preserve"> to automatically bucket continuous values into equal-sized ranges (e.g., Age into 10-year bins: 20–29, 30–39...), specifying either the </w:t>
      </w:r>
      <w:r>
        <w:rPr>
          <w:b/>
          <w:bCs/>
        </w:rPr>
        <w:t>bin size</w:t>
      </w:r>
      <w:r>
        <w:t xml:space="preserve"> or the </w:t>
      </w:r>
      <w:r>
        <w:rPr>
          <w:b/>
          <w:bCs/>
        </w:rPr>
        <w:t>number of bins</w:t>
      </w:r>
      <w:r>
        <w:t>. This is commonly used to convert a continuous measure into a categorical axis for histogram-style column charts, or to simplify a scatter plot's granularity.</w:t>
      </w:r>
    </w:p>
    <w:p w14:paraId="3417BB15" w14:textId="77777777" w:rsidR="0040359F" w:rsidRDefault="00000000">
      <w:pPr>
        <w:spacing w:after="150"/>
      </w:pPr>
      <w:r>
        <w:rPr>
          <w:b/>
          <w:bCs/>
        </w:rPr>
        <w:t>Exam distinction — Grouping/Binning vs. Clustering</w:t>
      </w:r>
      <w:r>
        <w:t>:</w:t>
      </w:r>
    </w:p>
    <w:p w14:paraId="0D70F4D7" w14:textId="77777777" w:rsidR="0040359F" w:rsidRDefault="00000000">
      <w:pPr>
        <w:pStyle w:val="ListParagraph"/>
        <w:numPr>
          <w:ilvl w:val="0"/>
          <w:numId w:val="1"/>
        </w:numPr>
        <w:spacing w:after="60"/>
      </w:pPr>
      <w:r>
        <w:rPr>
          <w:b/>
          <w:bCs/>
        </w:rPr>
        <w:t>Grouping</w:t>
      </w:r>
      <w:r>
        <w:t>: Manual, user-defined categorical buckets from existing discrete values (you decide the groups).</w:t>
      </w:r>
    </w:p>
    <w:p w14:paraId="416D9846" w14:textId="77777777" w:rsidR="0040359F" w:rsidRDefault="00000000">
      <w:pPr>
        <w:pStyle w:val="ListParagraph"/>
        <w:numPr>
          <w:ilvl w:val="0"/>
          <w:numId w:val="1"/>
        </w:numPr>
        <w:spacing w:after="60"/>
      </w:pPr>
      <w:r>
        <w:rPr>
          <w:b/>
          <w:bCs/>
        </w:rPr>
        <w:t>Binning</w:t>
      </w:r>
      <w:r>
        <w:t>: Automatic, rule-based numeric range buckets from a continuous field (equal width, by count or size — deterministic, not statistical).</w:t>
      </w:r>
    </w:p>
    <w:p w14:paraId="247789CD" w14:textId="77777777" w:rsidR="0040359F" w:rsidRDefault="00000000">
      <w:pPr>
        <w:pStyle w:val="ListParagraph"/>
        <w:numPr>
          <w:ilvl w:val="0"/>
          <w:numId w:val="1"/>
        </w:numPr>
        <w:spacing w:after="60"/>
      </w:pPr>
      <w:r>
        <w:rPr>
          <w:b/>
          <w:bCs/>
        </w:rPr>
        <w:t>Clustering</w:t>
      </w:r>
      <w:r>
        <w:t xml:space="preserve"> (Part 11.2): Algorithm-driven (k-means-style) grouping based on similarity across two plotted measures — the groupings are *discovered*, not defined by the user.</w:t>
      </w:r>
    </w:p>
    <w:p w14:paraId="438C0380" w14:textId="2B1501F1" w:rsidR="0040359F" w:rsidRDefault="0040359F" w:rsidP="00C819E4">
      <w:pPr>
        <w:pStyle w:val="ListParagraph"/>
        <w:spacing w:after="60"/>
        <w:ind w:left="720"/>
      </w:pPr>
    </w:p>
    <w:sectPr w:rsidR="0040359F">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7DC37" w14:textId="77777777" w:rsidR="00122C44" w:rsidRDefault="00122C44" w:rsidP="00C819E4">
      <w:r>
        <w:separator/>
      </w:r>
    </w:p>
  </w:endnote>
  <w:endnote w:type="continuationSeparator" w:id="0">
    <w:p w14:paraId="49073FDA" w14:textId="77777777" w:rsidR="00122C44" w:rsidRDefault="00122C44" w:rsidP="00C81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013284"/>
      <w:docPartObj>
        <w:docPartGallery w:val="Page Numbers (Bottom of Page)"/>
        <w:docPartUnique/>
      </w:docPartObj>
    </w:sdtPr>
    <w:sdtEndPr>
      <w:rPr>
        <w:noProof/>
      </w:rPr>
    </w:sdtEndPr>
    <w:sdtContent>
      <w:p w14:paraId="4365CBF6" w14:textId="126A95D4" w:rsidR="00C819E4" w:rsidRDefault="00C819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5EAA0A" w14:textId="77777777" w:rsidR="00C819E4" w:rsidRDefault="00C819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CA83C" w14:textId="77777777" w:rsidR="00122C44" w:rsidRDefault="00122C44" w:rsidP="00C819E4">
      <w:r>
        <w:separator/>
      </w:r>
    </w:p>
  </w:footnote>
  <w:footnote w:type="continuationSeparator" w:id="0">
    <w:p w14:paraId="415ED0F2" w14:textId="77777777" w:rsidR="00122C44" w:rsidRDefault="00122C44" w:rsidP="00C81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82626"/>
    <w:multiLevelType w:val="hybridMultilevel"/>
    <w:tmpl w:val="57A23D06"/>
    <w:lvl w:ilvl="0" w:tplc="A120B458">
      <w:start w:val="1"/>
      <w:numFmt w:val="bullet"/>
      <w:lvlText w:val="●"/>
      <w:lvlJc w:val="left"/>
      <w:pPr>
        <w:ind w:left="720" w:hanging="360"/>
      </w:pPr>
    </w:lvl>
    <w:lvl w:ilvl="1" w:tplc="287C8B62">
      <w:start w:val="1"/>
      <w:numFmt w:val="bullet"/>
      <w:lvlText w:val="○"/>
      <w:lvlJc w:val="left"/>
      <w:pPr>
        <w:ind w:left="1440" w:hanging="360"/>
      </w:pPr>
    </w:lvl>
    <w:lvl w:ilvl="2" w:tplc="B6BCF78C">
      <w:start w:val="1"/>
      <w:numFmt w:val="bullet"/>
      <w:lvlText w:val="■"/>
      <w:lvlJc w:val="left"/>
      <w:pPr>
        <w:ind w:left="2160" w:hanging="360"/>
      </w:pPr>
    </w:lvl>
    <w:lvl w:ilvl="3" w:tplc="40DCAB46">
      <w:start w:val="1"/>
      <w:numFmt w:val="bullet"/>
      <w:lvlText w:val="●"/>
      <w:lvlJc w:val="left"/>
      <w:pPr>
        <w:ind w:left="2880" w:hanging="360"/>
      </w:pPr>
    </w:lvl>
    <w:lvl w:ilvl="4" w:tplc="09AEB9F4">
      <w:start w:val="1"/>
      <w:numFmt w:val="bullet"/>
      <w:lvlText w:val="○"/>
      <w:lvlJc w:val="left"/>
      <w:pPr>
        <w:ind w:left="3600" w:hanging="360"/>
      </w:pPr>
    </w:lvl>
    <w:lvl w:ilvl="5" w:tplc="6B6099DC">
      <w:start w:val="1"/>
      <w:numFmt w:val="bullet"/>
      <w:lvlText w:val="■"/>
      <w:lvlJc w:val="left"/>
      <w:pPr>
        <w:ind w:left="4320" w:hanging="360"/>
      </w:pPr>
    </w:lvl>
    <w:lvl w:ilvl="6" w:tplc="34727610">
      <w:start w:val="1"/>
      <w:numFmt w:val="bullet"/>
      <w:lvlText w:val="●"/>
      <w:lvlJc w:val="left"/>
      <w:pPr>
        <w:ind w:left="5040" w:hanging="360"/>
      </w:pPr>
    </w:lvl>
    <w:lvl w:ilvl="7" w:tplc="D23255A8">
      <w:start w:val="1"/>
      <w:numFmt w:val="bullet"/>
      <w:lvlText w:val="●"/>
      <w:lvlJc w:val="left"/>
      <w:pPr>
        <w:ind w:left="5760" w:hanging="360"/>
      </w:pPr>
    </w:lvl>
    <w:lvl w:ilvl="8" w:tplc="7F929D44">
      <w:start w:val="1"/>
      <w:numFmt w:val="bullet"/>
      <w:lvlText w:val="●"/>
      <w:lvlJc w:val="left"/>
      <w:pPr>
        <w:ind w:left="6480" w:hanging="360"/>
      </w:pPr>
    </w:lvl>
  </w:abstractNum>
  <w:abstractNum w:abstractNumId="1" w15:restartNumberingAfterBreak="0">
    <w:nsid w:val="69CE4D37"/>
    <w:multiLevelType w:val="hybridMultilevel"/>
    <w:tmpl w:val="DA521886"/>
    <w:lvl w:ilvl="0" w:tplc="0DA4CCF6">
      <w:start w:val="1"/>
      <w:numFmt w:val="decimal"/>
      <w:lvlText w:val="%1."/>
      <w:lvlJc w:val="left"/>
      <w:pPr>
        <w:ind w:left="720" w:hanging="360"/>
      </w:pPr>
    </w:lvl>
    <w:lvl w:ilvl="1" w:tplc="93D6E5CE">
      <w:numFmt w:val="decimal"/>
      <w:lvlText w:val=""/>
      <w:lvlJc w:val="left"/>
    </w:lvl>
    <w:lvl w:ilvl="2" w:tplc="CD4EB12E">
      <w:numFmt w:val="decimal"/>
      <w:lvlText w:val=""/>
      <w:lvlJc w:val="left"/>
    </w:lvl>
    <w:lvl w:ilvl="3" w:tplc="D74E75B6">
      <w:numFmt w:val="decimal"/>
      <w:lvlText w:val=""/>
      <w:lvlJc w:val="left"/>
    </w:lvl>
    <w:lvl w:ilvl="4" w:tplc="6BEA9054">
      <w:numFmt w:val="decimal"/>
      <w:lvlText w:val=""/>
      <w:lvlJc w:val="left"/>
    </w:lvl>
    <w:lvl w:ilvl="5" w:tplc="83DAC78E">
      <w:numFmt w:val="decimal"/>
      <w:lvlText w:val=""/>
      <w:lvlJc w:val="left"/>
    </w:lvl>
    <w:lvl w:ilvl="6" w:tplc="17882B68">
      <w:numFmt w:val="decimal"/>
      <w:lvlText w:val=""/>
      <w:lvlJc w:val="left"/>
    </w:lvl>
    <w:lvl w:ilvl="7" w:tplc="AB2C6930">
      <w:numFmt w:val="decimal"/>
      <w:lvlText w:val=""/>
      <w:lvlJc w:val="left"/>
    </w:lvl>
    <w:lvl w:ilvl="8" w:tplc="BB005F2E">
      <w:numFmt w:val="decimal"/>
      <w:lvlText w:val=""/>
      <w:lvlJc w:val="left"/>
    </w:lvl>
  </w:abstractNum>
  <w:num w:numId="1" w16cid:durableId="505559922">
    <w:abstractNumId w:val="0"/>
    <w:lvlOverride w:ilvl="0">
      <w:startOverride w:val="1"/>
    </w:lvlOverride>
  </w:num>
  <w:num w:numId="2" w16cid:durableId="768744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59F"/>
    <w:rsid w:val="000E6FD8"/>
    <w:rsid w:val="00122C44"/>
    <w:rsid w:val="00155591"/>
    <w:rsid w:val="003B49D1"/>
    <w:rsid w:val="0040359F"/>
    <w:rsid w:val="00547D5C"/>
    <w:rsid w:val="007B098A"/>
    <w:rsid w:val="00A84A58"/>
    <w:rsid w:val="00C819E4"/>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2F79"/>
  <w15:docId w15:val="{A22B61D4-6602-4C6A-8183-CC55BA22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F5496"/>
      </w:pBdr>
      <w:spacing w:before="300" w:after="150"/>
      <w:outlineLvl w:val="0"/>
    </w:pPr>
    <w:rPr>
      <w:b/>
      <w:bCs/>
      <w:color w:val="2F5496"/>
      <w:sz w:val="34"/>
      <w:szCs w:val="34"/>
    </w:rPr>
  </w:style>
  <w:style w:type="paragraph" w:styleId="Heading2">
    <w:name w:val="heading 2"/>
    <w:uiPriority w:val="9"/>
    <w:unhideWhenUsed/>
    <w:qFormat/>
    <w:pPr>
      <w:spacing w:before="240" w:after="120"/>
      <w:outlineLvl w:val="1"/>
    </w:pPr>
    <w:rPr>
      <w:b/>
      <w:bCs/>
      <w:color w:val="2F5496"/>
      <w:sz w:val="28"/>
      <w:szCs w:val="28"/>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19E4"/>
    <w:pPr>
      <w:spacing w:after="100"/>
    </w:pPr>
  </w:style>
  <w:style w:type="paragraph" w:styleId="TOC2">
    <w:name w:val="toc 2"/>
    <w:basedOn w:val="Normal"/>
    <w:next w:val="Normal"/>
    <w:autoRedefine/>
    <w:uiPriority w:val="39"/>
    <w:unhideWhenUsed/>
    <w:rsid w:val="00C819E4"/>
    <w:pPr>
      <w:spacing w:after="100"/>
      <w:ind w:left="220"/>
    </w:pPr>
  </w:style>
  <w:style w:type="paragraph" w:styleId="TOC3">
    <w:name w:val="toc 3"/>
    <w:basedOn w:val="Normal"/>
    <w:next w:val="Normal"/>
    <w:autoRedefine/>
    <w:uiPriority w:val="39"/>
    <w:unhideWhenUsed/>
    <w:rsid w:val="00C819E4"/>
    <w:pPr>
      <w:spacing w:after="100"/>
      <w:ind w:left="440"/>
    </w:pPr>
  </w:style>
  <w:style w:type="paragraph" w:styleId="TOC4">
    <w:name w:val="toc 4"/>
    <w:basedOn w:val="Normal"/>
    <w:next w:val="Normal"/>
    <w:autoRedefine/>
    <w:uiPriority w:val="39"/>
    <w:unhideWhenUsed/>
    <w:rsid w:val="00C819E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819E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819E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819E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819E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819E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819E4"/>
    <w:rPr>
      <w:color w:val="605E5C"/>
      <w:shd w:val="clear" w:color="auto" w:fill="E1DFDD"/>
    </w:rPr>
  </w:style>
  <w:style w:type="paragraph" w:styleId="Header">
    <w:name w:val="header"/>
    <w:basedOn w:val="Normal"/>
    <w:link w:val="HeaderChar"/>
    <w:uiPriority w:val="99"/>
    <w:unhideWhenUsed/>
    <w:rsid w:val="00C819E4"/>
    <w:pPr>
      <w:tabs>
        <w:tab w:val="center" w:pos="4680"/>
        <w:tab w:val="right" w:pos="9360"/>
      </w:tabs>
    </w:pPr>
  </w:style>
  <w:style w:type="character" w:customStyle="1" w:styleId="HeaderChar">
    <w:name w:val="Header Char"/>
    <w:basedOn w:val="DefaultParagraphFont"/>
    <w:link w:val="Header"/>
    <w:uiPriority w:val="99"/>
    <w:rsid w:val="00C819E4"/>
  </w:style>
  <w:style w:type="paragraph" w:styleId="Footer">
    <w:name w:val="footer"/>
    <w:basedOn w:val="Normal"/>
    <w:link w:val="FooterChar"/>
    <w:uiPriority w:val="99"/>
    <w:unhideWhenUsed/>
    <w:rsid w:val="00C819E4"/>
    <w:pPr>
      <w:tabs>
        <w:tab w:val="center" w:pos="4680"/>
        <w:tab w:val="right" w:pos="9360"/>
      </w:tabs>
    </w:pPr>
  </w:style>
  <w:style w:type="character" w:customStyle="1" w:styleId="FooterChar">
    <w:name w:val="Footer Char"/>
    <w:basedOn w:val="DefaultParagraphFont"/>
    <w:link w:val="Footer"/>
    <w:uiPriority w:val="99"/>
    <w:rsid w:val="00C81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7569</Words>
  <Characters>43149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Konstantin Pandilovski</cp:lastModifiedBy>
  <cp:revision>3</cp:revision>
  <dcterms:created xsi:type="dcterms:W3CDTF">2026-07-31T11:15:00Z</dcterms:created>
  <dcterms:modified xsi:type="dcterms:W3CDTF">2026-07-31T11:16:00Z</dcterms:modified>
</cp:coreProperties>
</file>