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TAX INVOICE</w:t>
      </w:r>
    </w:p>
    <w:p>
      <w:pPr>
        <w:jc w:val="center"/>
      </w:pPr>
      <w:r>
        <w:rPr>
          <w:i/>
        </w:rPr>
        <w:t xml:space="preserve">Payment on account</w:t>
      </w:r>
    </w:p>
    <w:p>
      <w:r>
        <w:rPr/>
        <w:t xml:space="preserve"/>
      </w:r>
    </w:p>
    <w:p>
      <w:r>
        <w:rPr/>
        <w:t xml:space="preserve">Invoice number: {invoice_number}</w:t>
      </w:r>
    </w:p>
    <w:p>
      <w:r>
        <w:rPr/>
        <w:t xml:space="preserve">Policy number: {policy_number}</w:t>
      </w:r>
    </w:p>
    <w:p>
      <w:r>
        <w:rPr/>
        <w:t xml:space="preserve">Due date: {due_date}</w:t>
      </w:r>
    </w:p>
    <w:p>
      <w:r>
        <w:rPr/>
        <w:t xml:space="preserve">Void deadline (unpaid after this date voids the policy): {void_deadline}</w:t>
      </w:r>
    </w:p>
    <w:p>
      <w:r>
        <w:rPr/>
        <w:t xml:space="preserve">Payment terms: {payment_type}</w:t>
      </w:r>
    </w:p>
    <w:p>
      <w:r>
        <w:rPr/>
        <w:t xml:space="preserve">Amount due: {amount_due}</w:t>
      </w:r>
    </w:p>
    <w:p>
      <w:r>
        <w:rPr/>
        <w:t xml:space="preserve"/>
      </w:r>
    </w:p>
    <w:p>
      <w:r>
        <w:rPr>
          <w:b/>
          <w:sz w:val="24"/>
        </w:rPr>
        <w:t xml:space="preserve">Premium breakdown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{#premium_breakdown_list}</w:t>
            </w:r>
          </w:p>
        </w:tc>
        <w:tc>
          <w:tcPr>
            <w:tcW w:w="2500" w:type="dxa"/>
          </w:tcPr>
          <w:p>
            <w:r>
              <w:rPr/>
              <w:t xml:space="preserve"/>
            </w:r>
          </w:p>
        </w:tc>
      </w:tr>
      <w:tr>
        <w:tc>
          <w:tcPr>
            <w:tcW w:w="2500" w:type="dxa"/>
          </w:tcPr>
          <w:p>
            <w:r>
              <w:rPr/>
              <w:t xml:space="preserve">{label}</w:t>
            </w:r>
          </w:p>
        </w:tc>
        <w:tc>
          <w:tcPr>
            <w:tcW w:w="2500" w:type="dxa"/>
          </w:tcPr>
          <w:p>
            <w:r>
              <w:rPr/>
              <w:t xml:space="preserve">{amount}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{/premium_breakdown_list}</w:t>
            </w:r>
          </w:p>
        </w:tc>
        <w:tc>
          <w:tcPr>
            <w:tcW w:w="2500" w:type="dxa"/>
          </w:tcPr>
          <w:p>
            <w:r>
              <w:rPr/>
              <w:t xml:space="preserve"/>
            </w:r>
          </w:p>
        </w:tc>
      </w:tr>
    </w:tbl>
    <w:p>
      <w:r>
        <w:rPr/>
        <w:t xml:space="preserve"/>
      </w:r>
    </w:p>
    <w:p>
      <w:r>
        <w:rPr>
          <w:b/>
          <w:sz w:val="24"/>
        </w:rPr>
        <w:t xml:space="preserve">Payment details</w:t>
      </w:r>
    </w:p>
    <w:p>
      <w:r>
        <w:rPr/>
        <w:t xml:space="preserve">[Bank EFT details — Antipodean to supply. No BSB/account/reference field exists in any config wave 1 built; not a merge tag. See contract artefact 6, "content gaps".]</w:t>
      </w:r>
    </w:p>
    <w:sectPr>
      <w:pgSz w:w="11906" w:h="16838"/>
    </w:sectPr>
  </w:body>
</w:document>
</file>