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2F9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</w:rPr>
        <w:t>国家烟草专卖局关于批准发布雪茄烟内胚吸阻测定等20项烟草行业标准及计量检定规程的通知</w:t>
      </w:r>
    </w:p>
    <w:p w14:paraId="261FE6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457"/>
        <w:spacing w:before="225" w:beforeAutospacing="0" w:after="150" w:afterAutospacing="0" w:line="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42"/>
          <w:szCs w:val="42"/>
        </w:rPr>
        <w:pict>
          <v:rect id="_x0000_i1025" o:spt="1" style="height:1.5pt;width:80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425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807"/>
        <w:gridCol w:w="1340"/>
        <w:gridCol w:w="6"/>
        <w:gridCol w:w="6"/>
        <w:gridCol w:w="894"/>
        <w:gridCol w:w="2223"/>
        <w:gridCol w:w="101"/>
      </w:tblGrid>
      <w:tr w14:paraId="6BBC1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1944A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发布时间：2024-02-06 09:51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6C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"javascript:void(0);"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u w:val="none"/>
                <w:bdr w:val="none" w:color="auto" w:sz="0" w:space="0"/>
              </w:rPr>
              <w:t>大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"javascript:void(0);"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u w:val="none"/>
                <w:bdr w:val="none" w:color="auto" w:sz="0" w:space="0"/>
              </w:rPr>
              <w:t>中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"javascript:void(0);"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u w:val="none"/>
                <w:bdr w:val="none" w:color="auto" w:sz="0" w:space="0"/>
              </w:rPr>
              <w:t>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0B0D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文章来源：国家烟草专卖局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89AB65">
            <w:pPr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CC8E40A">
            <w:pPr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94DD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"javascript:window.print();"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u w:val="none"/>
                <w:bdr w:val="none" w:color="auto" w:sz="0" w:space="0"/>
              </w:rPr>
              <w:t>打印本页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"javascript:window.close()"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u w:val="none"/>
                <w:bdr w:val="none" w:color="auto" w:sz="0" w:space="0"/>
              </w:rPr>
              <w:t>关闭本页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71F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视力保护色：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26" o:spt="75" type="#_x0000_t75" style="height:9.75pt;width:9.75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27" o:spt="75" type="#_x0000_t75" style="height:9.75pt;width:9.75pt;" filled="f" coordsize="21600,21600">
                  <v:path/>
                  <v:fill on="f" focussize="0,0"/>
                  <v:stroke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28" o:spt="75" type="#_x0000_t75" style="height:9.75pt;width:9.75pt;" filled="f" coordsize="21600,21600">
                  <v:path/>
                  <v:fill on="f" focussize="0,0"/>
                  <v:stroke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29" o:spt="75" type="#_x0000_t75" style="height:9.75pt;width:9.75pt;" filled="f" coordsize="21600,21600">
                  <v:path/>
                  <v:fill on="f" focussize="0,0"/>
                  <v:stroke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30" o:spt="75" type="#_x0000_t75" style="height:9.75pt;width:9.75pt;" filled="f" coordsize="21600,21600">
                  <v:path/>
                  <v:fill on="f" focussize="0,0"/>
                  <v:stroke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9292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pict>
                <v:shape id="_x0000_i1031" o:spt="75" type="#_x0000_t75" style="height:9.75pt;width:9.75pt;" filled="f" coordsize="21600,21600">
                  <v:path/>
                  <v:fill on="f" focussize="0,0"/>
                  <v:stroke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3638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75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</w:t>
            </w:r>
          </w:p>
        </w:tc>
      </w:tr>
    </w:tbl>
    <w:p w14:paraId="05883F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国烟科〔2024〕11号</w:t>
      </w:r>
    </w:p>
    <w:p w14:paraId="5667BB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492944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行业各直属单位：</w:t>
      </w:r>
    </w:p>
    <w:p w14:paraId="15D92E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    国家烟草专卖局批准《雪茄烟内胚吸阻测定》等20项烟草行业标准及计量检定规程，现予以发布。</w:t>
      </w:r>
    </w:p>
    <w:p w14:paraId="011304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</w:t>
      </w:r>
    </w:p>
    <w:p w14:paraId="30C383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"http://gz.tobacco.gov.cn/xxgk/flfg/gjjwj/202402/P020240220384982012445.doc" \o "附件：20项烟草行业标准及计量检定规程名单.doc"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附件：20项烟草行业标准及计量检定规程名单.doc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 w14:paraId="1321FD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  </w:t>
      </w:r>
    </w:p>
    <w:p w14:paraId="73CA2B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                              国家烟草专卖局</w:t>
      </w:r>
    </w:p>
    <w:p w14:paraId="4AAF69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                              2024年1月29日</w:t>
      </w:r>
    </w:p>
    <w:p w14:paraId="3A2008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    （主动公开）</w:t>
      </w:r>
    </w:p>
    <w:p w14:paraId="542313F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9708A"/>
    <w:rsid w:val="337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2025-02-19T03:29:00Z</dcterms:created>
  <dc:creator>童朝义</dc:creator>
  <cp:lastModifiedBy>童朝义</cp:lastModifiedBy>
  <dcterms:modified xsi:type="dcterms:W3CDTF">2025-02-19T03:29:49Z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4DC50236BB1F44D2B66331F61B2AD9BC_11</vt:lpwstr>
  </property>
  <property fmtid="{D5CDD505-2E9C-101B-9397-08002B2CF9AE}" pid="4" name="KSOTemplateDocerSaveRecord">
    <vt:lpwstr>eyJoZGlkIjoiYmI5M2NkMmNkNTRlZWFiZGI1NWE3ZjNlODZlOWFjYWYifQ==</vt:lpwstr>
  </property>
</Properties>
</file>