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D223" w14:textId="77777777" w:rsidR="00D34A89" w:rsidRDefault="00ED2624">
      <w:pPr>
        <w:jc w:val="center"/>
        <w:rPr>
          <w:rFonts w:eastAsia="方正毡笔黑简体"/>
          <w:b/>
          <w:bCs/>
          <w:sz w:val="36"/>
          <w:szCs w:val="36"/>
        </w:rPr>
      </w:pPr>
      <w:r>
        <w:rPr>
          <w:rFonts w:eastAsia="方正毡笔黑简体"/>
          <w:b/>
          <w:bCs/>
          <w:sz w:val="36"/>
          <w:szCs w:val="36"/>
        </w:rPr>
        <w:t>贵州大学</w:t>
      </w:r>
      <w:r>
        <w:rPr>
          <w:rFonts w:eastAsia="方正毡笔黑简体" w:hint="eastAsia"/>
          <w:b/>
          <w:bCs/>
          <w:sz w:val="36"/>
          <w:szCs w:val="36"/>
        </w:rPr>
        <w:t>计算机科学与技术学院</w:t>
      </w:r>
    </w:p>
    <w:tbl>
      <w:tblPr>
        <w:tblW w:w="11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7"/>
        <w:gridCol w:w="3900"/>
        <w:gridCol w:w="992"/>
        <w:gridCol w:w="1701"/>
        <w:gridCol w:w="992"/>
        <w:gridCol w:w="2689"/>
      </w:tblGrid>
      <w:tr w:rsidR="00D34A89" w14:paraId="1D72404E" w14:textId="77777777">
        <w:trPr>
          <w:jc w:val="center"/>
        </w:trPr>
        <w:tc>
          <w:tcPr>
            <w:tcW w:w="11331" w:type="dxa"/>
            <w:gridSpan w:val="6"/>
            <w:shd w:val="clear" w:color="auto" w:fill="auto"/>
          </w:tcPr>
          <w:p w14:paraId="50C48013" w14:textId="77777777" w:rsidR="00D34A89" w:rsidRDefault="00ED262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《</w:t>
            </w:r>
            <w:r>
              <w:rPr>
                <w:rFonts w:hint="eastAsia"/>
                <w:b/>
                <w:bCs/>
                <w:sz w:val="24"/>
              </w:rPr>
              <w:t>大数据知识工程</w:t>
            </w:r>
            <w:r>
              <w:rPr>
                <w:b/>
                <w:bCs/>
                <w:sz w:val="24"/>
              </w:rPr>
              <w:t>》</w:t>
            </w:r>
            <w:r>
              <w:rPr>
                <w:rFonts w:hint="eastAsia"/>
                <w:b/>
                <w:bCs/>
                <w:sz w:val="24"/>
              </w:rPr>
              <w:t>课程实验</w:t>
            </w:r>
            <w:r>
              <w:rPr>
                <w:b/>
                <w:bCs/>
                <w:sz w:val="24"/>
              </w:rPr>
              <w:t>报告</w:t>
            </w:r>
          </w:p>
        </w:tc>
      </w:tr>
      <w:tr w:rsidR="00D34A89" w14:paraId="610C3C12" w14:textId="77777777">
        <w:trPr>
          <w:jc w:val="center"/>
        </w:trPr>
        <w:tc>
          <w:tcPr>
            <w:tcW w:w="1057" w:type="dxa"/>
            <w:shd w:val="clear" w:color="auto" w:fill="auto"/>
            <w:vAlign w:val="center"/>
          </w:tcPr>
          <w:p w14:paraId="4319BD4A" w14:textId="77777777" w:rsidR="00D34A89" w:rsidRDefault="00ED262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题目</w:t>
            </w:r>
          </w:p>
        </w:tc>
        <w:tc>
          <w:tcPr>
            <w:tcW w:w="3900" w:type="dxa"/>
            <w:shd w:val="clear" w:color="auto" w:fill="auto"/>
            <w:vAlign w:val="center"/>
          </w:tcPr>
          <w:p w14:paraId="4D7F8843" w14:textId="77777777" w:rsidR="00D34A89" w:rsidRDefault="00ED2624">
            <w:pPr>
              <w:widowControl/>
              <w:jc w:val="left"/>
              <w:rPr>
                <w:sz w:val="24"/>
              </w:rPr>
            </w:pPr>
            <w:r>
              <w:rPr>
                <w:rFonts w:ascii="FandolKai-Regular-Identity-H" w:eastAsia="FandolKai-Regular-Identity-H" w:hAnsi="FandolKai-Regular-Identity-H" w:cs="FandolKai-Regular-Identity-H"/>
                <w:color w:val="000000"/>
                <w:kern w:val="0"/>
                <w:sz w:val="19"/>
                <w:szCs w:val="19"/>
                <w:lang w:bidi="ar"/>
              </w:rPr>
              <w:t xml:space="preserve">基于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 xml:space="preserve">PyTorch </w:t>
            </w:r>
            <w:r>
              <w:rPr>
                <w:rFonts w:ascii="FandolKai-Regular-Identity-H" w:eastAsia="FandolKai-Regular-Identity-H" w:hAnsi="FandolKai-Regular-Identity-H" w:cs="FandolKai-Regular-Identity-H"/>
                <w:color w:val="000000"/>
                <w:kern w:val="0"/>
                <w:sz w:val="19"/>
                <w:szCs w:val="19"/>
                <w:lang w:bidi="ar"/>
              </w:rPr>
              <w:t>的知识图谱表示学习框架。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9B5E03" w14:textId="77777777" w:rsidR="00D34A89" w:rsidRDefault="00ED2624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2739A" w14:textId="22552306" w:rsidR="00D34A89" w:rsidRDefault="006464D5">
            <w:pPr>
              <w:jc w:val="center"/>
              <w:rPr>
                <w:rFonts w:eastAsiaTheme="minorEastAsia"/>
                <w:sz w:val="24"/>
                <w:lang w:val="en-GB"/>
              </w:rPr>
            </w:pPr>
            <w:r>
              <w:rPr>
                <w:rFonts w:eastAsiaTheme="minorEastAsia" w:hint="eastAsia"/>
                <w:sz w:val="24"/>
                <w:lang w:val="en-GB"/>
              </w:rPr>
              <w:t>田旭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C9C4F7" w14:textId="77777777" w:rsidR="00D34A89" w:rsidRDefault="00ED26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689" w:type="dxa"/>
            <w:shd w:val="clear" w:color="auto" w:fill="auto"/>
            <w:vAlign w:val="center"/>
          </w:tcPr>
          <w:p w14:paraId="1F9638C2" w14:textId="615C449D" w:rsidR="00D34A89" w:rsidRDefault="00ED2624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025.3.2</w:t>
            </w:r>
            <w:r w:rsidR="006464D5">
              <w:rPr>
                <w:rFonts w:hint="eastAsia"/>
                <w:sz w:val="24"/>
              </w:rPr>
              <w:t>9</w:t>
            </w:r>
          </w:p>
        </w:tc>
      </w:tr>
      <w:tr w:rsidR="00D34A89" w14:paraId="00C262E2" w14:textId="77777777">
        <w:trPr>
          <w:jc w:val="center"/>
        </w:trPr>
        <w:tc>
          <w:tcPr>
            <w:tcW w:w="11331" w:type="dxa"/>
            <w:gridSpan w:val="6"/>
            <w:shd w:val="clear" w:color="auto" w:fill="auto"/>
          </w:tcPr>
          <w:p w14:paraId="2D697753" w14:textId="77777777" w:rsidR="00D34A89" w:rsidRDefault="00ED262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实验环境：</w:t>
            </w:r>
          </w:p>
          <w:p w14:paraId="42137D80" w14:textId="77777777" w:rsidR="00D34A89" w:rsidRDefault="00ED2624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虚拟机操作系统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ubuntu-</w:t>
            </w:r>
            <w:r>
              <w:rPr>
                <w:rFonts w:hint="eastAsia"/>
                <w:sz w:val="24"/>
              </w:rPr>
              <w:t>22</w:t>
            </w:r>
          </w:p>
        </w:tc>
      </w:tr>
      <w:tr w:rsidR="00D34A89" w14:paraId="59AA43C0" w14:textId="77777777">
        <w:trPr>
          <w:trHeight w:val="4101"/>
          <w:jc w:val="center"/>
        </w:trPr>
        <w:tc>
          <w:tcPr>
            <w:tcW w:w="11331" w:type="dxa"/>
            <w:gridSpan w:val="6"/>
            <w:shd w:val="clear" w:color="auto" w:fill="auto"/>
          </w:tcPr>
          <w:p w14:paraId="3C58213D" w14:textId="77777777" w:rsidR="00D34A89" w:rsidRDefault="00ED2624">
            <w:pPr>
              <w:rPr>
                <w:rFonts w:eastAsia="楷体_GB2312"/>
                <w:b/>
                <w:bCs/>
                <w:sz w:val="28"/>
                <w:szCs w:val="28"/>
              </w:rPr>
            </w:pPr>
            <w:r>
              <w:rPr>
                <w:rFonts w:eastAsia="楷体_GB2312"/>
                <w:b/>
                <w:bCs/>
                <w:sz w:val="28"/>
                <w:szCs w:val="28"/>
              </w:rPr>
              <w:t>实验内容与完成情况：</w:t>
            </w:r>
          </w:p>
          <w:p w14:paraId="1BFFF04A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3.1 </w:t>
            </w:r>
            <w:r>
              <w:rPr>
                <w:rFonts w:ascii="FandolSong-Bold-Identity-H" w:eastAsia="FandolSong-Bold-Identity-H" w:hAnsi="FandolSong-Bold-Identity-H" w:cs="FandolSong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实验目的 </w:t>
            </w:r>
          </w:p>
          <w:p w14:paraId="44B1FEA1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本次实验旨在： </w:t>
            </w:r>
          </w:p>
          <w:p w14:paraId="7B8245B8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掌握知识图谱表示学习的工具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OpenKE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，熟悉其基本操作和模型实现。 </w:t>
            </w:r>
          </w:p>
          <w:p w14:paraId="4FB99EE0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学习使用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TransE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 xml:space="preserve">RESCAL 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等经典模型进行知识图谱推理。 </w:t>
            </w:r>
          </w:p>
          <w:p w14:paraId="1F10DB1B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了解常用数据集（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FB15k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FB15k-237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WN18RR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）的特点及其在知识图谱补全中的应用。 </w:t>
            </w:r>
          </w:p>
          <w:p w14:paraId="64B26B94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理解评价指标（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Hit@k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MR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MRR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）的意义，并学会评估模型性能。 </w:t>
            </w:r>
          </w:p>
          <w:p w14:paraId="2BD605A0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理解基解基于表示学习知识图谱推理与补全方法。 </w:t>
            </w:r>
          </w:p>
          <w:p w14:paraId="4CA2A470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3.2 </w:t>
            </w:r>
            <w:r>
              <w:rPr>
                <w:rFonts w:ascii="FandolSong-Bold-Identity-H" w:eastAsia="FandolSong-Bold-Identity-H" w:hAnsi="FandolSong-Bold-Identity-H" w:cs="FandolSong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实验平台 </w:t>
            </w:r>
          </w:p>
          <w:p w14:paraId="168B4A4F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本次实验主要使用的工具和库包括： </w:t>
            </w:r>
          </w:p>
          <w:p w14:paraId="78AE8892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OpenKE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：清华大学开源的知识图谱表示学习框架，支持多种经典模型（如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TransE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RESCAL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）和数据集 </w:t>
            </w:r>
          </w:p>
          <w:p w14:paraId="5ABA3B01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（如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FB15k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）。 </w:t>
            </w:r>
          </w:p>
          <w:p w14:paraId="357679D8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PyTorch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：深度学习框架，用于实现和训练模型。 </w:t>
            </w:r>
          </w:p>
          <w:p w14:paraId="1D2D1D33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Datasets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：主要使用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 xml:space="preserve">FB15k-237 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和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WN18RR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。 </w:t>
            </w:r>
          </w:p>
          <w:p w14:paraId="66C5FD2D" w14:textId="77777777" w:rsidR="00D34A89" w:rsidRDefault="00ED2624">
            <w:pPr>
              <w:widowControl/>
              <w:jc w:val="left"/>
            </w:pP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3.3 </w:t>
            </w:r>
            <w:r>
              <w:rPr>
                <w:rFonts w:ascii="FandolSong-Bold-Identity-H" w:eastAsia="FandolSong-Bold-Identity-H" w:hAnsi="FandolSong-Bold-Identity-H" w:cs="FandolSong-Bold-Identity-H"/>
                <w:b/>
                <w:bCs/>
                <w:color w:val="3C71B7"/>
                <w:kern w:val="0"/>
                <w:sz w:val="23"/>
                <w:szCs w:val="23"/>
                <w:lang w:bidi="ar"/>
              </w:rPr>
              <w:t xml:space="preserve">实验内容和要求 </w:t>
            </w:r>
          </w:p>
          <w:p w14:paraId="548E8468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请大家酌情调参。另外，请大家选择翻译模型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 xml:space="preserve">TransE 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或张量分解模型 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RESCAL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（任选一个模型）分别对常 </w:t>
            </w:r>
          </w:p>
          <w:p w14:paraId="7A7A7A8C" w14:textId="77777777" w:rsidR="00D34A89" w:rsidRDefault="00ED2624">
            <w:pPr>
              <w:widowControl/>
              <w:jc w:val="left"/>
            </w:pP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用数据集（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FB15k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FB15k-237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>、</w:t>
            </w:r>
            <w:r>
              <w:rPr>
                <w:rFonts w:ascii="TeXGyreTermes-Regular-Identity-" w:eastAsia="TeXGyreTermes-Regular-Identity-" w:hAnsi="TeXGyreTermes-Regular-Identity-" w:cs="TeXGyreTermes-Regular-Identity-"/>
                <w:color w:val="000000"/>
                <w:kern w:val="0"/>
                <w:sz w:val="19"/>
                <w:szCs w:val="19"/>
                <w:lang w:bidi="ar"/>
              </w:rPr>
              <w:t>WN18RR</w:t>
            </w:r>
            <w:r>
              <w:rPr>
                <w:rFonts w:ascii="FandolSong-Regular-Identity-H" w:eastAsia="FandolSong-Regular-Identity-H" w:hAnsi="FandolSong-Regular-Identity-H" w:cs="FandolSong-Regular-Identity-H"/>
                <w:color w:val="000000"/>
                <w:kern w:val="0"/>
                <w:sz w:val="19"/>
                <w:szCs w:val="19"/>
                <w:lang w:bidi="ar"/>
              </w:rPr>
              <w:t xml:space="preserve">）进行运行并记录相关的结果。 </w:t>
            </w:r>
          </w:p>
          <w:p w14:paraId="47BC34DC" w14:textId="77777777" w:rsidR="00D34A89" w:rsidRDefault="00ED2624">
            <w:pPr>
              <w:widowControl/>
              <w:jc w:val="left"/>
            </w:pPr>
            <w:r>
              <w:rPr>
                <w:rFonts w:ascii="FandolSong-Bold-Identity-H" w:eastAsia="FandolSong-Bold-Identity-H" w:hAnsi="FandolSong-Bold-Identity-H" w:cs="FandolSong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 xml:space="preserve">请大家在自己的电脑编译模型，否则容易出 </w:t>
            </w:r>
            <w:r>
              <w:rPr>
                <w:rFonts w:ascii="TeXGyreTermes-Bold-Identity-H" w:eastAsia="TeXGyreTermes-Bold-Identity-H" w:hAnsi="TeXGyreTermes-Bold-Identity-H" w:cs="TeXGyreTermes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bug</w:t>
            </w:r>
            <w:r>
              <w:rPr>
                <w:rFonts w:ascii="FandolSong-Bold-Identity-H" w:eastAsia="FandolSong-Bold-Identity-H" w:hAnsi="FandolSong-Bold-Identity-H" w:cs="FandolSong-Bold-Identity-H"/>
                <w:b/>
                <w:bCs/>
                <w:color w:val="000000"/>
                <w:kern w:val="0"/>
                <w:sz w:val="19"/>
                <w:szCs w:val="19"/>
                <w:lang w:bidi="ar"/>
              </w:rPr>
              <w:t>。</w:t>
            </w:r>
          </w:p>
          <w:p w14:paraId="1A44BA42" w14:textId="77777777" w:rsidR="00D34A89" w:rsidRDefault="00D34A89">
            <w:pPr>
              <w:ind w:firstLineChars="200" w:firstLine="420"/>
            </w:pPr>
          </w:p>
        </w:tc>
      </w:tr>
      <w:tr w:rsidR="00D34A89" w14:paraId="5C444613" w14:textId="77777777">
        <w:trPr>
          <w:trHeight w:val="2171"/>
          <w:jc w:val="center"/>
        </w:trPr>
        <w:tc>
          <w:tcPr>
            <w:tcW w:w="11331" w:type="dxa"/>
            <w:gridSpan w:val="6"/>
            <w:shd w:val="clear" w:color="auto" w:fill="auto"/>
          </w:tcPr>
          <w:p w14:paraId="431AE249" w14:textId="22EDC00C" w:rsidR="006E012F" w:rsidRDefault="00ED2624">
            <w:pPr>
              <w:spacing w:line="360" w:lineRule="auto"/>
              <w:rPr>
                <w:rFonts w:eastAsia="楷体_GB2312"/>
                <w:b/>
                <w:bCs/>
                <w:sz w:val="28"/>
                <w:szCs w:val="28"/>
              </w:rPr>
            </w:pPr>
            <w:r>
              <w:rPr>
                <w:rFonts w:eastAsia="楷体_GB2312"/>
                <w:b/>
                <w:bCs/>
                <w:sz w:val="28"/>
                <w:szCs w:val="28"/>
              </w:rPr>
              <w:t>三、</w:t>
            </w:r>
            <w:r>
              <w:rPr>
                <w:rFonts w:eastAsia="楷体_GB2312" w:hint="eastAsia"/>
                <w:b/>
                <w:bCs/>
                <w:sz w:val="28"/>
                <w:szCs w:val="28"/>
              </w:rPr>
              <w:t>实验完成情况及实验结果展示</w:t>
            </w:r>
          </w:p>
          <w:p w14:paraId="2720A20A" w14:textId="4D13BFA9" w:rsidR="00D34A89" w:rsidRDefault="00ED2624">
            <w:pPr>
              <w:pStyle w:val="af"/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</w:rPr>
              <w:t>1.</w:t>
            </w:r>
            <w:r w:rsidR="006E012F">
              <w:rPr>
                <w:sz w:val="24"/>
              </w:rPr>
              <w:t>git</w:t>
            </w:r>
            <w:r w:rsidR="006E012F">
              <w:rPr>
                <w:rFonts w:hint="eastAsia"/>
                <w:sz w:val="24"/>
              </w:rPr>
              <w:t>项目</w:t>
            </w:r>
            <w:r w:rsidR="006E012F">
              <w:rPr>
                <w:rFonts w:hint="eastAsia"/>
                <w:sz w:val="24"/>
              </w:rPr>
              <w:t>(</w:t>
            </w:r>
            <w:r w:rsidR="006E012F">
              <w:rPr>
                <w:sz w:val="24"/>
              </w:rPr>
              <w:t>O</w:t>
            </w:r>
            <w:r w:rsidR="006E012F">
              <w:rPr>
                <w:rFonts w:hint="eastAsia"/>
                <w:sz w:val="24"/>
              </w:rPr>
              <w:t>pen</w:t>
            </w:r>
            <w:r w:rsidR="006E012F">
              <w:rPr>
                <w:sz w:val="24"/>
              </w:rPr>
              <w:t>KE)</w:t>
            </w:r>
            <w:r w:rsidR="006E012F">
              <w:rPr>
                <w:rFonts w:hint="eastAsia"/>
                <w:sz w:val="24"/>
              </w:rPr>
              <w:t>到本地，</w:t>
            </w:r>
            <w:r w:rsidR="006E012F">
              <w:rPr>
                <w:rFonts w:hint="eastAsia"/>
                <w:sz w:val="24"/>
              </w:rPr>
              <w:t>python</w:t>
            </w:r>
            <w:r w:rsidR="006E012F">
              <w:rPr>
                <w:rFonts w:hint="eastAsia"/>
                <w:sz w:val="24"/>
              </w:rPr>
              <w:t>环境配置到本地，激活虚拟环境</w:t>
            </w:r>
            <w:r w:rsidR="006E012F">
              <w:rPr>
                <w:rFonts w:hint="eastAsia"/>
                <w:sz w:val="24"/>
              </w:rPr>
              <w:t>(</w:t>
            </w:r>
            <w:r w:rsidR="006E012F">
              <w:rPr>
                <w:rFonts w:hint="eastAsia"/>
                <w:sz w:val="24"/>
              </w:rPr>
              <w:t>虚拟环境名</w:t>
            </w:r>
            <w:r w:rsidR="006E012F">
              <w:rPr>
                <w:rFonts w:hint="eastAsia"/>
                <w:sz w:val="24"/>
              </w:rPr>
              <w:t>:chen</w:t>
            </w:r>
            <w:r w:rsidR="006E012F">
              <w:rPr>
                <w:sz w:val="24"/>
              </w:rPr>
              <w:t>_home)</w:t>
            </w:r>
          </w:p>
          <w:p w14:paraId="58833F72" w14:textId="5AB0BEC7" w:rsidR="006E012F" w:rsidRDefault="006E012F" w:rsidP="006E012F">
            <w:pPr>
              <w:pStyle w:val="af"/>
              <w:spacing w:line="360" w:lineRule="auto"/>
              <w:ind w:firstLineChars="0" w:firstLine="0"/>
              <w:jc w:val="center"/>
            </w:pPr>
            <w:r w:rsidRPr="006E012F">
              <w:rPr>
                <w:noProof/>
              </w:rPr>
              <w:drawing>
                <wp:inline distT="0" distB="0" distL="0" distR="0" wp14:anchorId="4993AF22" wp14:editId="7246932A">
                  <wp:extent cx="4772025" cy="225141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981" cy="225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AE08B2" w14:textId="290DDE02" w:rsidR="006E012F" w:rsidRDefault="006E012F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执行过程截图</w:t>
            </w:r>
          </w:p>
          <w:p w14:paraId="140AB81D" w14:textId="257E4A06" w:rsidR="006E012F" w:rsidRDefault="006E012F" w:rsidP="006E012F">
            <w:pPr>
              <w:pStyle w:val="af"/>
              <w:tabs>
                <w:tab w:val="left" w:pos="312"/>
              </w:tabs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6E012F">
              <w:rPr>
                <w:noProof/>
                <w:sz w:val="24"/>
              </w:rPr>
              <w:lastRenderedPageBreak/>
              <w:drawing>
                <wp:inline distT="0" distB="0" distL="0" distR="0" wp14:anchorId="78EA9C9F" wp14:editId="61F9409B">
                  <wp:extent cx="5610225" cy="1711081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602" cy="171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D6CAC9" w14:textId="167DC2FC" w:rsidR="00D34A89" w:rsidRDefault="00ED2624">
            <w:pPr>
              <w:pStyle w:val="af"/>
              <w:numPr>
                <w:ilvl w:val="0"/>
                <w:numId w:val="1"/>
              </w:numPr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执行相关运行代码为</w:t>
            </w:r>
          </w:p>
          <w:p w14:paraId="702E77EE" w14:textId="138053B9" w:rsidR="00D34A89" w:rsidRDefault="002F1782">
            <w:pPr>
              <w:pStyle w:val="af"/>
              <w:tabs>
                <w:tab w:val="left" w:pos="312"/>
              </w:tabs>
              <w:spacing w:line="36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加载</w:t>
            </w:r>
            <w:r w:rsidR="00ED2624">
              <w:rPr>
                <w:rFonts w:hint="eastAsia"/>
                <w:sz w:val="24"/>
              </w:rPr>
              <w:t xml:space="preserve">FB15K </w:t>
            </w:r>
            <w:r>
              <w:rPr>
                <w:rFonts w:hint="eastAsia"/>
                <w:sz w:val="24"/>
              </w:rPr>
              <w:t>数据集进行测试</w:t>
            </w:r>
          </w:p>
          <w:p w14:paraId="3D18A24B" w14:textId="5BD9588F" w:rsidR="002F1782" w:rsidRPr="002F1782" w:rsidRDefault="002F1782">
            <w:pPr>
              <w:pStyle w:val="af"/>
              <w:tabs>
                <w:tab w:val="left" w:pos="312"/>
              </w:tabs>
              <w:spacing w:line="360" w:lineRule="auto"/>
              <w:ind w:firstLineChars="0" w:firstLine="0"/>
              <w:rPr>
                <w:b/>
                <w:bCs/>
                <w:sz w:val="24"/>
              </w:rPr>
            </w:pPr>
            <w:r w:rsidRPr="002F1782">
              <w:rPr>
                <w:rFonts w:hint="eastAsia"/>
                <w:b/>
                <w:bCs/>
                <w:sz w:val="24"/>
              </w:rPr>
              <w:t>测试代码</w:t>
            </w:r>
          </w:p>
          <w:p w14:paraId="28091C80" w14:textId="24991509" w:rsidR="002F1782" w:rsidRPr="002F1782" w:rsidRDefault="002F1782" w:rsidP="002F178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openke.config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Trainer, Tester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openke.data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TrainDataLoader, TestDataLoader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openke.module.model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TransE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openke.module.loss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MarginLoss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from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openke.module.strategy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NegativeSampling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os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1. 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加载数据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train_dataloader = TrainDataLoader(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in_path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"./benchmarks/</w:t>
            </w:r>
            <w:r>
              <w:t xml:space="preserve"> 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FB15K/"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nbatches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100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threads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8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sampling_mode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"normal"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bern_flag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filter_flag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neg_ent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25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neg_rel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test_dataloader = TestDataLoader(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"./benchmarks</w:t>
            </w:r>
            <w:r>
              <w:t xml:space="preserve"> 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FB15K/"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"link"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2. 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定义模型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transe = TransE(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ent_tot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train_dataloader.get_ent_tot(),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rel_tot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train_dataloader.get_rel_tot(),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dim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200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p_norm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norm_flag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model = NegativeSampling(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model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transe,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loss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MarginLoss(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margin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1.0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),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 xml:space="preserve">batch_size 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 train_dataloader.get_batch_size()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3. 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训练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trainer = Trainer(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model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=model,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data_loader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=train_dataloader,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train_times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1000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alpha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0.001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use_gpu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trainer.run()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 xml:space="preserve"># 4. 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保存模型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os.makedirs(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'./checkpoint_tx'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exist_ok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transe.save_checkpoint(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'./checkpoint_tx/transe.pth'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lastRenderedPageBreak/>
              <w:t xml:space="preserve"># 5. 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t>测试</w:t>
            </w:r>
            <w:r w:rsidRPr="002F1782">
              <w:rPr>
                <w:rFonts w:ascii="Courier New" w:hAnsi="Courier New" w:cs="Courier New"/>
                <w:i/>
                <w:iCs/>
                <w:color w:val="8C8C8C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transe.load_checkpoint(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'./checkpoint_tx/transe.pth'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tester = Tester(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model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=transe,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data_loader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=test_dataloader, 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use_gpu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True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tester.run_link_prediction(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type_constrain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False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mrr, mr, hit10, hit3, hit1 = tester.run_link_prediction(</w:t>
            </w:r>
            <w:r w:rsidRPr="002F1782">
              <w:rPr>
                <w:rFonts w:ascii="Courier New" w:hAnsi="Courier New" w:cs="Courier New"/>
                <w:color w:val="660099"/>
                <w:kern w:val="0"/>
                <w:sz w:val="20"/>
                <w:szCs w:val="20"/>
              </w:rPr>
              <w:t>type_constrain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</w:t>
            </w:r>
            <w:r w:rsidRPr="002F1782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>False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"MRR:"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mrr)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"MR:"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mr)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"Hit@10:"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hit10)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"Hit@3:"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hit3)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2F1782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print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2F1782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"Hit@1:"</w:t>
            </w:r>
            <w:r w:rsidRPr="002F1782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, hit1)</w:t>
            </w:r>
          </w:p>
          <w:p w14:paraId="70E9499D" w14:textId="603180F3" w:rsidR="002F1782" w:rsidRPr="0058439C" w:rsidRDefault="002F1782" w:rsidP="0058439C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14:paraId="452EFB2C" w14:textId="662CE1C9" w:rsidR="002F1782" w:rsidRPr="002F1782" w:rsidRDefault="002F1782" w:rsidP="002F1782">
            <w:pPr>
              <w:pStyle w:val="af"/>
              <w:spacing w:line="360" w:lineRule="auto"/>
              <w:ind w:firstLineChars="0" w:firstLine="0"/>
              <w:jc w:val="center"/>
              <w:rPr>
                <w:b/>
                <w:bCs/>
                <w:sz w:val="24"/>
              </w:rPr>
            </w:pPr>
          </w:p>
          <w:p w14:paraId="7B318C9C" w14:textId="09BB73CD" w:rsidR="002D731A" w:rsidRDefault="00ED2624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指标解释</w:t>
            </w:r>
          </w:p>
          <w:p w14:paraId="694D3886" w14:textId="1AA67A83" w:rsidR="0058439C" w:rsidRPr="002D731A" w:rsidRDefault="0058439C" w:rsidP="0058439C">
            <w:pPr>
              <w:spacing w:line="360" w:lineRule="auto"/>
              <w:jc w:val="center"/>
              <w:rPr>
                <w:rFonts w:hint="eastAsia"/>
                <w:b/>
                <w:bCs/>
                <w:sz w:val="24"/>
              </w:rPr>
            </w:pPr>
            <w:r w:rsidRPr="0058439C">
              <w:rPr>
                <w:rFonts w:hint="eastAsia"/>
                <w:b/>
                <w:bCs/>
                <w:sz w:val="24"/>
              </w:rPr>
              <w:t>表</w:t>
            </w:r>
            <w:r w:rsidRPr="0058439C">
              <w:rPr>
                <w:rFonts w:hint="eastAsia"/>
                <w:b/>
                <w:bCs/>
                <w:sz w:val="24"/>
              </w:rPr>
              <w:t xml:space="preserve">1 </w:t>
            </w:r>
            <w:r w:rsidRPr="0058439C">
              <w:rPr>
                <w:rFonts w:hint="eastAsia"/>
                <w:b/>
                <w:bCs/>
                <w:sz w:val="24"/>
              </w:rPr>
              <w:t>指标说明表</w:t>
            </w:r>
          </w:p>
          <w:tbl>
            <w:tblPr>
              <w:tblStyle w:val="aa"/>
              <w:tblpPr w:leftFromText="180" w:rightFromText="180" w:vertAnchor="page" w:horzAnchor="margin" w:tblpY="425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01"/>
              <w:gridCol w:w="2390"/>
              <w:gridCol w:w="5014"/>
            </w:tblGrid>
            <w:tr w:rsidR="0058439C" w14:paraId="1B788006" w14:textId="77777777" w:rsidTr="0058439C">
              <w:trPr>
                <w:trHeight w:val="699"/>
              </w:trPr>
              <w:tc>
                <w:tcPr>
                  <w:tcW w:w="3701" w:type="dxa"/>
                  <w:vAlign w:val="center"/>
                </w:tcPr>
                <w:p w14:paraId="49BCE400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指标名称</w:t>
                  </w:r>
                </w:p>
              </w:tc>
              <w:tc>
                <w:tcPr>
                  <w:tcW w:w="2390" w:type="dxa"/>
                  <w:vAlign w:val="center"/>
                </w:tcPr>
                <w:p w14:paraId="6E83AC57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英文全称</w:t>
                  </w:r>
                </w:p>
              </w:tc>
              <w:tc>
                <w:tcPr>
                  <w:tcW w:w="5014" w:type="dxa"/>
                  <w:vAlign w:val="center"/>
                </w:tcPr>
                <w:p w14:paraId="4C77655D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含义说明</w:t>
                  </w:r>
                </w:p>
              </w:tc>
            </w:tr>
            <w:tr w:rsidR="0058439C" w14:paraId="08463DD7" w14:textId="77777777" w:rsidTr="0058439C">
              <w:tc>
                <w:tcPr>
                  <w:tcW w:w="3701" w:type="dxa"/>
                  <w:vAlign w:val="center"/>
                </w:tcPr>
                <w:p w14:paraId="78D4147B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MRR</w:t>
                  </w:r>
                </w:p>
              </w:tc>
              <w:tc>
                <w:tcPr>
                  <w:tcW w:w="2390" w:type="dxa"/>
                  <w:vAlign w:val="center"/>
                </w:tcPr>
                <w:p w14:paraId="7B22BCA0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Mean Reciprocal Rank</w:t>
                  </w:r>
                </w:p>
              </w:tc>
              <w:tc>
                <w:tcPr>
                  <w:tcW w:w="5014" w:type="dxa"/>
                  <w:vAlign w:val="center"/>
                </w:tcPr>
                <w:p w14:paraId="7EAB2F65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平均倒数排名，即正确实体排名倒数的平均值，数值越高越好</w:t>
                  </w:r>
                </w:p>
              </w:tc>
            </w:tr>
            <w:tr w:rsidR="0058439C" w14:paraId="0A5AEEFA" w14:textId="77777777" w:rsidTr="0058439C">
              <w:trPr>
                <w:trHeight w:val="665"/>
              </w:trPr>
              <w:tc>
                <w:tcPr>
                  <w:tcW w:w="3701" w:type="dxa"/>
                  <w:vAlign w:val="center"/>
                </w:tcPr>
                <w:p w14:paraId="09BF163C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MR</w:t>
                  </w:r>
                </w:p>
              </w:tc>
              <w:tc>
                <w:tcPr>
                  <w:tcW w:w="2390" w:type="dxa"/>
                  <w:vAlign w:val="center"/>
                </w:tcPr>
                <w:p w14:paraId="02C4A6F6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Mean Rank</w:t>
                  </w:r>
                </w:p>
              </w:tc>
              <w:tc>
                <w:tcPr>
                  <w:tcW w:w="5014" w:type="dxa"/>
                  <w:vAlign w:val="center"/>
                </w:tcPr>
                <w:p w14:paraId="4D45D075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平均排名，越低表示预测越靠前，性能越好</w:t>
                  </w:r>
                </w:p>
              </w:tc>
            </w:tr>
            <w:tr w:rsidR="0058439C" w14:paraId="2D53E330" w14:textId="77777777" w:rsidTr="0058439C">
              <w:tc>
                <w:tcPr>
                  <w:tcW w:w="3701" w:type="dxa"/>
                  <w:vAlign w:val="center"/>
                </w:tcPr>
                <w:p w14:paraId="5D8EA876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Hit@10</w:t>
                  </w:r>
                </w:p>
              </w:tc>
              <w:tc>
                <w:tcPr>
                  <w:tcW w:w="2390" w:type="dxa"/>
                  <w:vAlign w:val="center"/>
                </w:tcPr>
                <w:p w14:paraId="44E1A72F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Hits at 10</w:t>
                  </w:r>
                </w:p>
              </w:tc>
              <w:tc>
                <w:tcPr>
                  <w:tcW w:w="5014" w:type="dxa"/>
                  <w:vAlign w:val="center"/>
                </w:tcPr>
                <w:p w14:paraId="1FD79AA1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排名前10中包含正确实体的比例，常用于衡量模型对高排名结果的覆盖能力</w:t>
                  </w:r>
                </w:p>
              </w:tc>
            </w:tr>
            <w:tr w:rsidR="0058439C" w14:paraId="51C76842" w14:textId="77777777" w:rsidTr="0058439C">
              <w:trPr>
                <w:trHeight w:val="795"/>
              </w:trPr>
              <w:tc>
                <w:tcPr>
                  <w:tcW w:w="3701" w:type="dxa"/>
                  <w:vAlign w:val="center"/>
                </w:tcPr>
                <w:p w14:paraId="063F73F8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Hit@3</w:t>
                  </w:r>
                </w:p>
              </w:tc>
              <w:tc>
                <w:tcPr>
                  <w:tcW w:w="2390" w:type="dxa"/>
                  <w:vAlign w:val="center"/>
                </w:tcPr>
                <w:p w14:paraId="4B50A82A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Hits at 3</w:t>
                  </w:r>
                </w:p>
              </w:tc>
              <w:tc>
                <w:tcPr>
                  <w:tcW w:w="5014" w:type="dxa"/>
                  <w:vAlign w:val="center"/>
                </w:tcPr>
                <w:p w14:paraId="70504080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排名前3中包含正确实体的比例</w:t>
                  </w:r>
                </w:p>
              </w:tc>
            </w:tr>
            <w:tr w:rsidR="0058439C" w14:paraId="7B74121E" w14:textId="77777777" w:rsidTr="0058439C">
              <w:tc>
                <w:tcPr>
                  <w:tcW w:w="3701" w:type="dxa"/>
                  <w:vAlign w:val="center"/>
                </w:tcPr>
                <w:p w14:paraId="69F78C42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Hit@1</w:t>
                  </w:r>
                </w:p>
              </w:tc>
              <w:tc>
                <w:tcPr>
                  <w:tcW w:w="2390" w:type="dxa"/>
                  <w:vAlign w:val="center"/>
                </w:tcPr>
                <w:p w14:paraId="58CCA979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Hits at 1</w:t>
                  </w:r>
                </w:p>
              </w:tc>
              <w:tc>
                <w:tcPr>
                  <w:tcW w:w="5014" w:type="dxa"/>
                  <w:vAlign w:val="center"/>
                </w:tcPr>
                <w:p w14:paraId="3E8E7D92" w14:textId="77777777" w:rsidR="0058439C" w:rsidRDefault="0058439C" w:rsidP="0058439C">
                  <w:r>
                    <w:rPr>
                      <w:rFonts w:ascii="等线" w:eastAsia="等线" w:hAnsi="等线" w:hint="eastAsia"/>
                      <w:color w:val="000000"/>
                      <w:sz w:val="22"/>
                      <w:szCs w:val="22"/>
                    </w:rPr>
                    <w:t>排名第1就是正确实体的比例，要求最严格，体现模型的精准预测能力</w:t>
                  </w:r>
                </w:p>
              </w:tc>
            </w:tr>
          </w:tbl>
          <w:p w14:paraId="406A5DFD" w14:textId="3981C5B5" w:rsidR="0058439C" w:rsidRDefault="0058439C" w:rsidP="0058439C">
            <w:pPr>
              <w:pStyle w:val="a9"/>
              <w:widowControl/>
              <w:numPr>
                <w:ilvl w:val="0"/>
                <w:numId w:val="2"/>
              </w:numPr>
              <w:spacing w:beforeAutospacing="1" w:afterAutospacing="1"/>
              <w:rPr>
                <w:b/>
                <w:bCs/>
              </w:rPr>
            </w:pPr>
            <w:r w:rsidRPr="0058439C">
              <w:rPr>
                <w:rFonts w:hint="eastAsia"/>
                <w:b/>
                <w:bCs/>
              </w:rPr>
              <w:t xml:space="preserve">FB15K </w:t>
            </w:r>
            <w:r w:rsidRPr="0058439C">
              <w:rPr>
                <w:rFonts w:hint="eastAsia"/>
                <w:b/>
                <w:bCs/>
              </w:rPr>
              <w:t>数据集运行结果：</w:t>
            </w:r>
          </w:p>
          <w:p w14:paraId="23F64354" w14:textId="411781CA" w:rsidR="0058439C" w:rsidRDefault="0058439C" w:rsidP="0058439C">
            <w:pPr>
              <w:pStyle w:val="a9"/>
              <w:widowControl/>
              <w:spacing w:beforeAutospacing="1" w:afterAutospacing="1"/>
              <w:ind w:left="360"/>
              <w:jc w:val="center"/>
              <w:rPr>
                <w:rFonts w:hint="eastAsia"/>
                <w:b/>
                <w:bCs/>
              </w:rPr>
            </w:pPr>
            <w:r w:rsidRPr="002F1782">
              <w:rPr>
                <w:b/>
                <w:bCs/>
                <w:noProof/>
              </w:rPr>
              <w:drawing>
                <wp:inline distT="0" distB="0" distL="0" distR="0" wp14:anchorId="3DDAFACC" wp14:editId="14D44AD7">
                  <wp:extent cx="4293469" cy="2443280"/>
                  <wp:effectExtent l="0" t="0" r="0" b="0"/>
                  <wp:docPr id="1295119091" name="图片 1295119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9618" cy="245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09B2C" w14:textId="6F5F91D4" w:rsidR="00124B48" w:rsidRPr="0058439C" w:rsidRDefault="00ED2624" w:rsidP="0058439C">
            <w:pPr>
              <w:pStyle w:val="a9"/>
              <w:widowControl/>
              <w:numPr>
                <w:ilvl w:val="0"/>
                <w:numId w:val="2"/>
              </w:numPr>
              <w:spacing w:beforeAutospacing="1" w:afterAutospacing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WN18</w:t>
            </w:r>
            <w:r w:rsidR="00124B48">
              <w:rPr>
                <w:rFonts w:hint="eastAsia"/>
                <w:b/>
                <w:bCs/>
              </w:rPr>
              <w:t>数据集测试结果</w:t>
            </w:r>
          </w:p>
          <w:p w14:paraId="3E3D3873" w14:textId="61DDD487" w:rsidR="00AE725B" w:rsidRDefault="00AE725B" w:rsidP="00AE725B">
            <w:pPr>
              <w:pStyle w:val="a9"/>
              <w:widowControl/>
              <w:spacing w:beforeAutospacing="1" w:afterAutospacing="1"/>
              <w:jc w:val="center"/>
              <w:rPr>
                <w:b/>
                <w:bCs/>
              </w:rPr>
            </w:pPr>
            <w:r w:rsidRPr="00AE725B">
              <w:rPr>
                <w:b/>
                <w:bCs/>
                <w:noProof/>
              </w:rPr>
              <w:lastRenderedPageBreak/>
              <w:drawing>
                <wp:inline distT="0" distB="0" distL="0" distR="0" wp14:anchorId="68D08CBC" wp14:editId="1EAFFCE7">
                  <wp:extent cx="3893820" cy="2225040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135" cy="223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345D2" w14:textId="162A8CB2" w:rsidR="00D34A89" w:rsidRDefault="00ED2624" w:rsidP="0058439C">
            <w:pPr>
              <w:pStyle w:val="a9"/>
              <w:widowControl/>
              <w:numPr>
                <w:ilvl w:val="0"/>
                <w:numId w:val="2"/>
              </w:numPr>
              <w:spacing w:beforeAutospacing="1" w:afterAutospacing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FK15K237</w:t>
            </w:r>
            <w:r w:rsidR="0058439C" w:rsidRPr="0058439C">
              <w:rPr>
                <w:rFonts w:hint="eastAsia"/>
                <w:b/>
                <w:bCs/>
              </w:rPr>
              <w:t>数据集测试结果</w:t>
            </w:r>
          </w:p>
          <w:p w14:paraId="69B34F3F" w14:textId="5E16D9D2" w:rsidR="00A74C2C" w:rsidRDefault="00A74C2C" w:rsidP="0058439C">
            <w:pPr>
              <w:pStyle w:val="a9"/>
              <w:widowControl/>
              <w:spacing w:beforeAutospacing="1" w:afterAutospacing="1"/>
              <w:jc w:val="center"/>
              <w:rPr>
                <w:b/>
                <w:bCs/>
              </w:rPr>
            </w:pPr>
            <w:r w:rsidRPr="00A74C2C">
              <w:rPr>
                <w:b/>
                <w:bCs/>
                <w:noProof/>
              </w:rPr>
              <w:drawing>
                <wp:inline distT="0" distB="0" distL="0" distR="0" wp14:anchorId="2DAF2C86" wp14:editId="5747257E">
                  <wp:extent cx="3898507" cy="2179392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591" cy="218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DAA19" w14:textId="46CD2288" w:rsidR="00D34A89" w:rsidRDefault="00ED2624" w:rsidP="0058439C">
            <w:pPr>
              <w:pStyle w:val="a9"/>
              <w:widowControl/>
              <w:numPr>
                <w:ilvl w:val="0"/>
                <w:numId w:val="2"/>
              </w:numPr>
              <w:spacing w:beforeAutospacing="1" w:afterAutospacing="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WN18RR</w:t>
            </w:r>
            <w:r w:rsidR="0058439C" w:rsidRPr="0058439C">
              <w:rPr>
                <w:rFonts w:hint="eastAsia"/>
                <w:b/>
                <w:bCs/>
              </w:rPr>
              <w:t>数据集测试结果</w:t>
            </w:r>
          </w:p>
          <w:p w14:paraId="697BE8CB" w14:textId="54004732" w:rsidR="00D34A89" w:rsidRPr="0058439C" w:rsidRDefault="00BE2F6D" w:rsidP="0058439C">
            <w:pPr>
              <w:pStyle w:val="a9"/>
              <w:widowControl/>
              <w:spacing w:beforeAutospacing="1" w:afterAutospacing="1"/>
              <w:jc w:val="center"/>
              <w:rPr>
                <w:rFonts w:hint="eastAsia"/>
                <w:b/>
                <w:bCs/>
              </w:rPr>
            </w:pPr>
            <w:r w:rsidRPr="00BE2F6D">
              <w:rPr>
                <w:b/>
                <w:bCs/>
                <w:noProof/>
              </w:rPr>
              <w:drawing>
                <wp:inline distT="0" distB="0" distL="0" distR="0" wp14:anchorId="3CE47470" wp14:editId="49989B03">
                  <wp:extent cx="3866212" cy="2197100"/>
                  <wp:effectExtent l="0" t="0" r="127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086" cy="2206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2F353" w14:textId="4BC3BBA3" w:rsidR="0058439C" w:rsidRDefault="0058439C">
            <w:pPr>
              <w:spacing w:line="360" w:lineRule="auto"/>
              <w:rPr>
                <w:b/>
                <w:bCs/>
                <w:sz w:val="24"/>
              </w:rPr>
            </w:pPr>
            <w:r w:rsidRPr="0058439C">
              <w:rPr>
                <w:rFonts w:hint="eastAsia"/>
                <w:b/>
                <w:bCs/>
                <w:sz w:val="24"/>
              </w:rPr>
              <w:t>问题与解决：</w:t>
            </w:r>
          </w:p>
          <w:p w14:paraId="293F2171" w14:textId="360A710F" w:rsidR="006464D5" w:rsidRPr="0058439C" w:rsidRDefault="006464D5" w:rsidP="006464D5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问题：</w:t>
            </w:r>
            <w:r>
              <w:rPr>
                <w:b/>
                <w:bCs/>
                <w:sz w:val="24"/>
              </w:rPr>
              <w:br/>
            </w:r>
            <w:r w:rsidRPr="006464D5">
              <w:rPr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432C87B2" wp14:editId="53EE3C70">
                  <wp:extent cx="5553075" cy="1517291"/>
                  <wp:effectExtent l="0" t="0" r="0" b="6985"/>
                  <wp:docPr id="14459126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1948" cy="151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42A8BE" w14:textId="2362F905" w:rsidR="0058439C" w:rsidRDefault="006464D5" w:rsidP="0058439C">
            <w:pPr>
              <w:pStyle w:val="af"/>
              <w:tabs>
                <w:tab w:val="left" w:pos="312"/>
              </w:tabs>
              <w:spacing w:line="360" w:lineRule="auto"/>
              <w:ind w:firstLineChars="0" w:firstLine="0"/>
              <w:rPr>
                <w:sz w:val="24"/>
              </w:rPr>
            </w:pPr>
            <w:r w:rsidRPr="006464D5">
              <w:rPr>
                <w:rFonts w:hint="eastAsia"/>
                <w:b/>
                <w:bCs/>
                <w:sz w:val="24"/>
              </w:rPr>
              <w:t>解决方案：</w:t>
            </w:r>
            <w:r w:rsidR="0058439C">
              <w:rPr>
                <w:rFonts w:hint="eastAsia"/>
                <w:sz w:val="24"/>
              </w:rPr>
              <w:t>执行命令</w:t>
            </w:r>
            <w:r w:rsidR="0058439C" w:rsidRPr="006E012F">
              <w:rPr>
                <w:sz w:val="24"/>
              </w:rPr>
              <w:t>bash make.sh</w:t>
            </w:r>
            <w:r w:rsidR="0058439C" w:rsidRPr="006E012F">
              <w:rPr>
                <w:rFonts w:hint="eastAsia"/>
                <w:sz w:val="24"/>
              </w:rPr>
              <w:t xml:space="preserve"> </w:t>
            </w:r>
            <w:r w:rsidR="0058439C">
              <w:rPr>
                <w:rFonts w:hint="eastAsia"/>
                <w:sz w:val="24"/>
              </w:rPr>
              <w:t>之前需要先执行下列三条命令，不然会报错</w:t>
            </w:r>
          </w:p>
          <w:p w14:paraId="18502751" w14:textId="77777777" w:rsidR="0058439C" w:rsidRPr="006E012F" w:rsidRDefault="0058439C" w:rsidP="0058439C">
            <w:pPr>
              <w:tabs>
                <w:tab w:val="left" w:pos="312"/>
              </w:tabs>
              <w:spacing w:line="360" w:lineRule="auto"/>
              <w:jc w:val="center"/>
              <w:rPr>
                <w:sz w:val="24"/>
              </w:rPr>
            </w:pPr>
            <w:r w:rsidRPr="006E012F">
              <w:rPr>
                <w:sz w:val="24"/>
              </w:rPr>
              <w:t>apt-get update</w:t>
            </w:r>
          </w:p>
          <w:p w14:paraId="5600FAEF" w14:textId="77777777" w:rsidR="0058439C" w:rsidRPr="006E012F" w:rsidRDefault="0058439C" w:rsidP="0058439C">
            <w:pPr>
              <w:tabs>
                <w:tab w:val="left" w:pos="312"/>
              </w:tabs>
              <w:spacing w:line="360" w:lineRule="auto"/>
              <w:jc w:val="center"/>
              <w:rPr>
                <w:sz w:val="24"/>
              </w:rPr>
            </w:pPr>
            <w:r w:rsidRPr="006E012F">
              <w:rPr>
                <w:sz w:val="24"/>
              </w:rPr>
              <w:t>apt-get install dos2unix</w:t>
            </w:r>
          </w:p>
          <w:p w14:paraId="7EA786FB" w14:textId="77777777" w:rsidR="0058439C" w:rsidRDefault="0058439C" w:rsidP="0058439C">
            <w:pPr>
              <w:pStyle w:val="af"/>
              <w:tabs>
                <w:tab w:val="left" w:pos="312"/>
              </w:tabs>
              <w:spacing w:line="360" w:lineRule="auto"/>
              <w:ind w:firstLineChars="0" w:firstLine="0"/>
              <w:jc w:val="center"/>
              <w:rPr>
                <w:sz w:val="24"/>
              </w:rPr>
            </w:pPr>
            <w:r w:rsidRPr="006E012F">
              <w:rPr>
                <w:sz w:val="24"/>
              </w:rPr>
              <w:t>dos2unix make.sh</w:t>
            </w:r>
          </w:p>
          <w:p w14:paraId="06478193" w14:textId="6C862BB6" w:rsidR="0058439C" w:rsidRPr="0058439C" w:rsidRDefault="0058439C" w:rsidP="0058439C">
            <w:pPr>
              <w:pStyle w:val="af"/>
              <w:spacing w:line="360" w:lineRule="auto"/>
              <w:ind w:firstLineChars="0" w:firstLine="0"/>
              <w:jc w:val="center"/>
              <w:rPr>
                <w:rFonts w:hint="eastAsia"/>
              </w:rPr>
            </w:pPr>
            <w:r w:rsidRPr="006E012F">
              <w:rPr>
                <w:noProof/>
              </w:rPr>
              <w:drawing>
                <wp:inline distT="0" distB="0" distL="0" distR="0" wp14:anchorId="199922D6" wp14:editId="22DA1D46">
                  <wp:extent cx="4362450" cy="2379233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8633" cy="238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9E9C92" w14:textId="676B61C7" w:rsidR="00D34A89" w:rsidRPr="0058439C" w:rsidRDefault="00ED2624">
            <w:pPr>
              <w:spacing w:line="360" w:lineRule="auto"/>
              <w:rPr>
                <w:b/>
                <w:bCs/>
                <w:sz w:val="24"/>
              </w:rPr>
            </w:pPr>
            <w:r w:rsidRPr="0058439C">
              <w:rPr>
                <w:rFonts w:hint="eastAsia"/>
                <w:b/>
                <w:bCs/>
                <w:sz w:val="24"/>
              </w:rPr>
              <w:t>改进的方向</w:t>
            </w:r>
          </w:p>
          <w:p w14:paraId="367CDAC9" w14:textId="21F749D6" w:rsidR="00D34A89" w:rsidRDefault="0058439C" w:rsidP="0058439C">
            <w:pPr>
              <w:pStyle w:val="a9"/>
              <w:widowControl/>
              <w:spacing w:before="100" w:beforeAutospacing="1" w:after="100" w:afterAutospacing="1"/>
              <w:ind w:firstLineChars="200" w:firstLine="480"/>
            </w:pPr>
            <w:r w:rsidRPr="0058439C">
              <w:rPr>
                <w:rFonts w:hint="eastAsia"/>
              </w:rPr>
              <w:t>当前模型性能低下的主要原因是缺少实际训练过程，导致保存和测试的模型参数仍为随机值，评估结果接近随机猜测。为改进这一问题，应首先引入完整的训练流程，利用</w:t>
            </w:r>
            <w:r w:rsidRPr="0058439C">
              <w:rPr>
                <w:rFonts w:hint="eastAsia"/>
              </w:rPr>
              <w:t>OpenKE</w:t>
            </w:r>
            <w:r w:rsidRPr="0058439C">
              <w:rPr>
                <w:rFonts w:hint="eastAsia"/>
              </w:rPr>
              <w:t>中的</w:t>
            </w:r>
            <w:r w:rsidRPr="0058439C">
              <w:rPr>
                <w:rFonts w:hint="eastAsia"/>
              </w:rPr>
              <w:t>Trainer</w:t>
            </w:r>
            <w:r w:rsidRPr="0058439C">
              <w:rPr>
                <w:rFonts w:hint="eastAsia"/>
              </w:rPr>
              <w:t>模块配置学习率、训练轮数等参数进行训练。同时，可通过调整</w:t>
            </w:r>
            <w:r w:rsidRPr="0058439C">
              <w:rPr>
                <w:rFonts w:hint="eastAsia"/>
              </w:rPr>
              <w:t>TransE</w:t>
            </w:r>
            <w:r w:rsidRPr="0058439C">
              <w:rPr>
                <w:rFonts w:hint="eastAsia"/>
              </w:rPr>
              <w:t>模型的超参数（如嵌入维度、边界值、负样本数量和采样策略）进一步提升性能。在评估阶段，建议启用过滤机制并结合类型约束以提高指标的真实性与准确性。此外，还需确保数据集格式完整、</w:t>
            </w:r>
            <w:r w:rsidRPr="0058439C">
              <w:rPr>
                <w:rFonts w:hint="eastAsia"/>
              </w:rPr>
              <w:t>ID</w:t>
            </w:r>
            <w:r w:rsidRPr="0058439C">
              <w:rPr>
                <w:rFonts w:hint="eastAsia"/>
              </w:rPr>
              <w:t>映射正确，并开启</w:t>
            </w:r>
            <w:r w:rsidRPr="0058439C">
              <w:rPr>
                <w:rFonts w:hint="eastAsia"/>
              </w:rPr>
              <w:t>GPU</w:t>
            </w:r>
            <w:r w:rsidRPr="0058439C">
              <w:rPr>
                <w:rFonts w:hint="eastAsia"/>
              </w:rPr>
              <w:t>加速训练效率。通过上述改进，模型在</w:t>
            </w:r>
            <w:r w:rsidRPr="0058439C">
              <w:rPr>
                <w:rFonts w:hint="eastAsia"/>
              </w:rPr>
              <w:t>WN18</w:t>
            </w:r>
            <w:r w:rsidRPr="0058439C">
              <w:rPr>
                <w:rFonts w:hint="eastAsia"/>
              </w:rPr>
              <w:t>上的</w:t>
            </w:r>
            <w:r w:rsidRPr="0058439C">
              <w:rPr>
                <w:rFonts w:hint="eastAsia"/>
              </w:rPr>
              <w:t>MRR</w:t>
            </w:r>
            <w:r w:rsidRPr="0058439C">
              <w:rPr>
                <w:rFonts w:hint="eastAsia"/>
              </w:rPr>
              <w:t>有望达到</w:t>
            </w:r>
            <w:r w:rsidRPr="0058439C">
              <w:rPr>
                <w:rFonts w:hint="eastAsia"/>
              </w:rPr>
              <w:t>0.7</w:t>
            </w:r>
            <w:r w:rsidRPr="0058439C">
              <w:rPr>
                <w:rFonts w:hint="eastAsia"/>
              </w:rPr>
              <w:t>以上，</w:t>
            </w:r>
            <w:r w:rsidRPr="0058439C">
              <w:rPr>
                <w:rFonts w:hint="eastAsia"/>
              </w:rPr>
              <w:t>Hit@10</w:t>
            </w:r>
            <w:r w:rsidRPr="0058439C">
              <w:rPr>
                <w:rFonts w:hint="eastAsia"/>
              </w:rPr>
              <w:t>超过</w:t>
            </w:r>
            <w:r w:rsidRPr="0058439C">
              <w:rPr>
                <w:rFonts w:hint="eastAsia"/>
              </w:rPr>
              <w:t>90%</w:t>
            </w:r>
            <w:r w:rsidRPr="0058439C">
              <w:rPr>
                <w:rFonts w:hint="eastAsia"/>
              </w:rPr>
              <w:t>，显著优于当前结果</w:t>
            </w:r>
            <w:r w:rsidR="00ED2624">
              <w:t>。</w:t>
            </w:r>
          </w:p>
          <w:p w14:paraId="6EE22D54" w14:textId="77777777" w:rsidR="00D34A89" w:rsidRDefault="00D34A89">
            <w:pPr>
              <w:pStyle w:val="a9"/>
              <w:widowControl/>
              <w:spacing w:beforeAutospacing="1" w:afterAutospacing="1"/>
            </w:pPr>
          </w:p>
          <w:p w14:paraId="75F1E753" w14:textId="77777777" w:rsidR="00D34A89" w:rsidRDefault="00D34A89">
            <w:pPr>
              <w:spacing w:line="360" w:lineRule="auto"/>
              <w:rPr>
                <w:sz w:val="24"/>
              </w:rPr>
            </w:pPr>
          </w:p>
        </w:tc>
      </w:tr>
    </w:tbl>
    <w:p w14:paraId="42412889" w14:textId="77777777" w:rsidR="00D34A89" w:rsidRDefault="00D34A89">
      <w:pPr>
        <w:snapToGrid w:val="0"/>
        <w:rPr>
          <w:sz w:val="28"/>
          <w:szCs w:val="28"/>
        </w:rPr>
      </w:pPr>
    </w:p>
    <w:sectPr w:rsidR="00D34A89"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ABE81C" w14:textId="77777777" w:rsidR="002F3F91" w:rsidRDefault="002F3F91">
      <w:r>
        <w:separator/>
      </w:r>
    </w:p>
  </w:endnote>
  <w:endnote w:type="continuationSeparator" w:id="0">
    <w:p w14:paraId="417442E7" w14:textId="77777777" w:rsidR="002F3F91" w:rsidRDefault="002F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毡笔黑简体">
    <w:altName w:val="宋体"/>
    <w:charset w:val="86"/>
    <w:family w:val="roman"/>
    <w:pitch w:val="default"/>
    <w:sig w:usb0="00000000" w:usb1="00000000" w:usb2="00000010" w:usb3="00000000" w:csb0="00040000" w:csb1="00000000"/>
  </w:font>
  <w:font w:name="FandolKai-Regular-Identity-H">
    <w:altName w:val="Segoe Print"/>
    <w:charset w:val="00"/>
    <w:family w:val="auto"/>
    <w:pitch w:val="default"/>
  </w:font>
  <w:font w:name="TeXGyreTermes-Regular-Identity-">
    <w:altName w:val="Segoe Print"/>
    <w:charset w:val="00"/>
    <w:family w:val="auto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eXGyreTermes-Bold-Identity-H">
    <w:altName w:val="Segoe Print"/>
    <w:charset w:val="00"/>
    <w:family w:val="auto"/>
    <w:pitch w:val="default"/>
  </w:font>
  <w:font w:name="FandolSong-Bold-Identity-H">
    <w:altName w:val="Segoe Print"/>
    <w:charset w:val="00"/>
    <w:family w:val="auto"/>
    <w:pitch w:val="default"/>
  </w:font>
  <w:font w:name="FandolSong-Regular-Identity-H">
    <w:altName w:val="Segoe Print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AE5B4" w14:textId="77777777" w:rsidR="00D34A89" w:rsidRDefault="00ED2624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12AEDC0" w14:textId="77777777" w:rsidR="00D34A89" w:rsidRDefault="00D34A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B56FF" w14:textId="77777777" w:rsidR="00D34A89" w:rsidRDefault="00ED2624">
    <w:pPr>
      <w:pStyle w:val="a5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14</w:t>
    </w:r>
    <w:r>
      <w:rPr>
        <w:rStyle w:val="ac"/>
      </w:rPr>
      <w:fldChar w:fldCharType="end"/>
    </w:r>
  </w:p>
  <w:p w14:paraId="6A856BFF" w14:textId="77777777" w:rsidR="00D34A89" w:rsidRDefault="00D34A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644E7" w14:textId="77777777" w:rsidR="002F3F91" w:rsidRDefault="002F3F91">
      <w:r>
        <w:separator/>
      </w:r>
    </w:p>
  </w:footnote>
  <w:footnote w:type="continuationSeparator" w:id="0">
    <w:p w14:paraId="5537EF07" w14:textId="77777777" w:rsidR="002F3F91" w:rsidRDefault="002F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A6593B"/>
    <w:multiLevelType w:val="singleLevel"/>
    <w:tmpl w:val="65A6593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F584256"/>
    <w:multiLevelType w:val="hybridMultilevel"/>
    <w:tmpl w:val="45C037D8"/>
    <w:lvl w:ilvl="0" w:tplc="585AF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1651804">
    <w:abstractNumId w:val="0"/>
  </w:num>
  <w:num w:numId="2" w16cid:durableId="144156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5N2NjYjU5NGM1Yzk5MjAyNjIzZmJiOWI3M2M5YTMifQ=="/>
  </w:docVars>
  <w:rsids>
    <w:rsidRoot w:val="00963F93"/>
    <w:rsid w:val="00011FB4"/>
    <w:rsid w:val="00025306"/>
    <w:rsid w:val="000264D0"/>
    <w:rsid w:val="00026EDA"/>
    <w:rsid w:val="00030C68"/>
    <w:rsid w:val="0003221E"/>
    <w:rsid w:val="00036A5B"/>
    <w:rsid w:val="00042060"/>
    <w:rsid w:val="000444D1"/>
    <w:rsid w:val="00044867"/>
    <w:rsid w:val="00051C54"/>
    <w:rsid w:val="00052E37"/>
    <w:rsid w:val="00071ED3"/>
    <w:rsid w:val="00080408"/>
    <w:rsid w:val="0009244C"/>
    <w:rsid w:val="000A3C3A"/>
    <w:rsid w:val="000B3110"/>
    <w:rsid w:val="000B4E88"/>
    <w:rsid w:val="000D2085"/>
    <w:rsid w:val="000D214E"/>
    <w:rsid w:val="000D3809"/>
    <w:rsid w:val="000F3DCA"/>
    <w:rsid w:val="0010735E"/>
    <w:rsid w:val="00121A02"/>
    <w:rsid w:val="00122301"/>
    <w:rsid w:val="00122758"/>
    <w:rsid w:val="00124B48"/>
    <w:rsid w:val="00132A8E"/>
    <w:rsid w:val="00140BF4"/>
    <w:rsid w:val="00151D3E"/>
    <w:rsid w:val="00154DA6"/>
    <w:rsid w:val="001619B4"/>
    <w:rsid w:val="00165EE2"/>
    <w:rsid w:val="00167EE1"/>
    <w:rsid w:val="0017035B"/>
    <w:rsid w:val="00171357"/>
    <w:rsid w:val="0017351E"/>
    <w:rsid w:val="00173B5F"/>
    <w:rsid w:val="00190A35"/>
    <w:rsid w:val="00194AC2"/>
    <w:rsid w:val="001A2457"/>
    <w:rsid w:val="001A3477"/>
    <w:rsid w:val="001A4CD8"/>
    <w:rsid w:val="001B0FFC"/>
    <w:rsid w:val="001D0FA1"/>
    <w:rsid w:val="001E1179"/>
    <w:rsid w:val="001F10BC"/>
    <w:rsid w:val="001F2F27"/>
    <w:rsid w:val="001F56F9"/>
    <w:rsid w:val="001F5D9C"/>
    <w:rsid w:val="002014D5"/>
    <w:rsid w:val="002320B6"/>
    <w:rsid w:val="00233266"/>
    <w:rsid w:val="00235397"/>
    <w:rsid w:val="00254245"/>
    <w:rsid w:val="00254561"/>
    <w:rsid w:val="00256CBF"/>
    <w:rsid w:val="00276404"/>
    <w:rsid w:val="0029433E"/>
    <w:rsid w:val="00297F45"/>
    <w:rsid w:val="002A5BCE"/>
    <w:rsid w:val="002B01A6"/>
    <w:rsid w:val="002C0042"/>
    <w:rsid w:val="002D731A"/>
    <w:rsid w:val="002E079E"/>
    <w:rsid w:val="002E259C"/>
    <w:rsid w:val="002F1782"/>
    <w:rsid w:val="002F3F91"/>
    <w:rsid w:val="00306074"/>
    <w:rsid w:val="003077F8"/>
    <w:rsid w:val="0031129D"/>
    <w:rsid w:val="00323B43"/>
    <w:rsid w:val="00330CFE"/>
    <w:rsid w:val="00332EF7"/>
    <w:rsid w:val="00343958"/>
    <w:rsid w:val="00352989"/>
    <w:rsid w:val="00355030"/>
    <w:rsid w:val="00356C95"/>
    <w:rsid w:val="003573A0"/>
    <w:rsid w:val="00363AF4"/>
    <w:rsid w:val="003661B1"/>
    <w:rsid w:val="00395061"/>
    <w:rsid w:val="003A175D"/>
    <w:rsid w:val="003B2770"/>
    <w:rsid w:val="003C20BF"/>
    <w:rsid w:val="003D0273"/>
    <w:rsid w:val="003D349D"/>
    <w:rsid w:val="003D37D8"/>
    <w:rsid w:val="003E0772"/>
    <w:rsid w:val="003E7AC2"/>
    <w:rsid w:val="003F3EDA"/>
    <w:rsid w:val="004119E4"/>
    <w:rsid w:val="00422B6D"/>
    <w:rsid w:val="00426C4F"/>
    <w:rsid w:val="004358AB"/>
    <w:rsid w:val="0044130D"/>
    <w:rsid w:val="00452A26"/>
    <w:rsid w:val="004530D7"/>
    <w:rsid w:val="00453FE3"/>
    <w:rsid w:val="00455729"/>
    <w:rsid w:val="004573BF"/>
    <w:rsid w:val="00457EFB"/>
    <w:rsid w:val="0046123B"/>
    <w:rsid w:val="004652E6"/>
    <w:rsid w:val="004730C1"/>
    <w:rsid w:val="004819BB"/>
    <w:rsid w:val="004922DB"/>
    <w:rsid w:val="00497BA7"/>
    <w:rsid w:val="004A3E4B"/>
    <w:rsid w:val="004A5BE8"/>
    <w:rsid w:val="004A5C68"/>
    <w:rsid w:val="004C3654"/>
    <w:rsid w:val="004D0901"/>
    <w:rsid w:val="004D0DE2"/>
    <w:rsid w:val="004D30A3"/>
    <w:rsid w:val="004D348B"/>
    <w:rsid w:val="004D755C"/>
    <w:rsid w:val="004F14F9"/>
    <w:rsid w:val="004F5D58"/>
    <w:rsid w:val="00501393"/>
    <w:rsid w:val="00510179"/>
    <w:rsid w:val="00512B7B"/>
    <w:rsid w:val="00523977"/>
    <w:rsid w:val="00530822"/>
    <w:rsid w:val="005348A6"/>
    <w:rsid w:val="005437DC"/>
    <w:rsid w:val="005514AD"/>
    <w:rsid w:val="00555C3B"/>
    <w:rsid w:val="00557D3F"/>
    <w:rsid w:val="00561ECD"/>
    <w:rsid w:val="00572FF9"/>
    <w:rsid w:val="00573E9E"/>
    <w:rsid w:val="00577E1F"/>
    <w:rsid w:val="0058439C"/>
    <w:rsid w:val="00586381"/>
    <w:rsid w:val="00587BBE"/>
    <w:rsid w:val="0059359E"/>
    <w:rsid w:val="005944AF"/>
    <w:rsid w:val="005A5A92"/>
    <w:rsid w:val="005A6DD1"/>
    <w:rsid w:val="005B14D1"/>
    <w:rsid w:val="005B1D53"/>
    <w:rsid w:val="005B421D"/>
    <w:rsid w:val="005B4537"/>
    <w:rsid w:val="005B7943"/>
    <w:rsid w:val="005C551E"/>
    <w:rsid w:val="005D5402"/>
    <w:rsid w:val="005D6A33"/>
    <w:rsid w:val="005E3C82"/>
    <w:rsid w:val="005E73A8"/>
    <w:rsid w:val="005F01CA"/>
    <w:rsid w:val="005F433A"/>
    <w:rsid w:val="006149FF"/>
    <w:rsid w:val="0062186B"/>
    <w:rsid w:val="00633A1B"/>
    <w:rsid w:val="0063594D"/>
    <w:rsid w:val="00636A89"/>
    <w:rsid w:val="006464D5"/>
    <w:rsid w:val="006474C2"/>
    <w:rsid w:val="00647AD1"/>
    <w:rsid w:val="00653F4A"/>
    <w:rsid w:val="006564B9"/>
    <w:rsid w:val="006656B3"/>
    <w:rsid w:val="00670AC6"/>
    <w:rsid w:val="00671B2B"/>
    <w:rsid w:val="006744EF"/>
    <w:rsid w:val="006846D7"/>
    <w:rsid w:val="006856F7"/>
    <w:rsid w:val="00694F0B"/>
    <w:rsid w:val="00696544"/>
    <w:rsid w:val="0069780D"/>
    <w:rsid w:val="006A0423"/>
    <w:rsid w:val="006A40B5"/>
    <w:rsid w:val="006B05CA"/>
    <w:rsid w:val="006B47AA"/>
    <w:rsid w:val="006B47F7"/>
    <w:rsid w:val="006D5140"/>
    <w:rsid w:val="006E012F"/>
    <w:rsid w:val="006E0C42"/>
    <w:rsid w:val="006E1D21"/>
    <w:rsid w:val="006E34AA"/>
    <w:rsid w:val="006E7F83"/>
    <w:rsid w:val="006F11AA"/>
    <w:rsid w:val="006F55D0"/>
    <w:rsid w:val="00700F61"/>
    <w:rsid w:val="007128E4"/>
    <w:rsid w:val="00717BF4"/>
    <w:rsid w:val="007256DD"/>
    <w:rsid w:val="007274A0"/>
    <w:rsid w:val="00735C53"/>
    <w:rsid w:val="0074332A"/>
    <w:rsid w:val="00745862"/>
    <w:rsid w:val="007539C6"/>
    <w:rsid w:val="007660F3"/>
    <w:rsid w:val="00782ACE"/>
    <w:rsid w:val="00785286"/>
    <w:rsid w:val="00787F51"/>
    <w:rsid w:val="007917D7"/>
    <w:rsid w:val="00791D71"/>
    <w:rsid w:val="007976E5"/>
    <w:rsid w:val="007A1582"/>
    <w:rsid w:val="007A44A7"/>
    <w:rsid w:val="007B0EEB"/>
    <w:rsid w:val="007B1D20"/>
    <w:rsid w:val="007B6A49"/>
    <w:rsid w:val="007B7165"/>
    <w:rsid w:val="007C132D"/>
    <w:rsid w:val="007C7EC9"/>
    <w:rsid w:val="007D470D"/>
    <w:rsid w:val="007E0595"/>
    <w:rsid w:val="007E0CFA"/>
    <w:rsid w:val="007F1CDE"/>
    <w:rsid w:val="007F2838"/>
    <w:rsid w:val="007F510B"/>
    <w:rsid w:val="008022F6"/>
    <w:rsid w:val="0080642B"/>
    <w:rsid w:val="0082054A"/>
    <w:rsid w:val="00825A82"/>
    <w:rsid w:val="00833511"/>
    <w:rsid w:val="008356C7"/>
    <w:rsid w:val="00835AE0"/>
    <w:rsid w:val="0084071A"/>
    <w:rsid w:val="00841596"/>
    <w:rsid w:val="00842415"/>
    <w:rsid w:val="0084657C"/>
    <w:rsid w:val="008636B0"/>
    <w:rsid w:val="00876631"/>
    <w:rsid w:val="00876F8F"/>
    <w:rsid w:val="0088606C"/>
    <w:rsid w:val="00887F8A"/>
    <w:rsid w:val="00891838"/>
    <w:rsid w:val="00894117"/>
    <w:rsid w:val="0089631E"/>
    <w:rsid w:val="008A284D"/>
    <w:rsid w:val="008A5AE6"/>
    <w:rsid w:val="008B7726"/>
    <w:rsid w:val="008D2E62"/>
    <w:rsid w:val="008D3A8D"/>
    <w:rsid w:val="008D4FC9"/>
    <w:rsid w:val="008E5F18"/>
    <w:rsid w:val="008F03F9"/>
    <w:rsid w:val="00917C6A"/>
    <w:rsid w:val="00941F01"/>
    <w:rsid w:val="00945D40"/>
    <w:rsid w:val="009542B6"/>
    <w:rsid w:val="00961FE1"/>
    <w:rsid w:val="00963F93"/>
    <w:rsid w:val="009673C0"/>
    <w:rsid w:val="00987481"/>
    <w:rsid w:val="00997F65"/>
    <w:rsid w:val="009A39DE"/>
    <w:rsid w:val="009A4B76"/>
    <w:rsid w:val="009B00DF"/>
    <w:rsid w:val="009B0C18"/>
    <w:rsid w:val="009B123E"/>
    <w:rsid w:val="009E484D"/>
    <w:rsid w:val="009E7D09"/>
    <w:rsid w:val="009F2219"/>
    <w:rsid w:val="009F524E"/>
    <w:rsid w:val="009F6C22"/>
    <w:rsid w:val="00A06AE3"/>
    <w:rsid w:val="00A23769"/>
    <w:rsid w:val="00A25214"/>
    <w:rsid w:val="00A26905"/>
    <w:rsid w:val="00A4335F"/>
    <w:rsid w:val="00A57D28"/>
    <w:rsid w:val="00A62E39"/>
    <w:rsid w:val="00A6604E"/>
    <w:rsid w:val="00A7495A"/>
    <w:rsid w:val="00A74C2C"/>
    <w:rsid w:val="00A770BE"/>
    <w:rsid w:val="00A800EB"/>
    <w:rsid w:val="00A85823"/>
    <w:rsid w:val="00A85E89"/>
    <w:rsid w:val="00A86559"/>
    <w:rsid w:val="00A870C0"/>
    <w:rsid w:val="00A90EE2"/>
    <w:rsid w:val="00A92365"/>
    <w:rsid w:val="00A931AD"/>
    <w:rsid w:val="00A9528B"/>
    <w:rsid w:val="00A96728"/>
    <w:rsid w:val="00A97F41"/>
    <w:rsid w:val="00AA0828"/>
    <w:rsid w:val="00AA1BCC"/>
    <w:rsid w:val="00AB1697"/>
    <w:rsid w:val="00AB5AE8"/>
    <w:rsid w:val="00AC029B"/>
    <w:rsid w:val="00AC2345"/>
    <w:rsid w:val="00AC5EF8"/>
    <w:rsid w:val="00AC770B"/>
    <w:rsid w:val="00AE2F7E"/>
    <w:rsid w:val="00AE725B"/>
    <w:rsid w:val="00AF465C"/>
    <w:rsid w:val="00B00293"/>
    <w:rsid w:val="00B02C43"/>
    <w:rsid w:val="00B05A74"/>
    <w:rsid w:val="00B12145"/>
    <w:rsid w:val="00B132CD"/>
    <w:rsid w:val="00B15A4C"/>
    <w:rsid w:val="00B22304"/>
    <w:rsid w:val="00B26ADB"/>
    <w:rsid w:val="00B51C42"/>
    <w:rsid w:val="00B562F4"/>
    <w:rsid w:val="00B66F09"/>
    <w:rsid w:val="00B75249"/>
    <w:rsid w:val="00B84843"/>
    <w:rsid w:val="00B8597C"/>
    <w:rsid w:val="00B8689C"/>
    <w:rsid w:val="00B911D6"/>
    <w:rsid w:val="00BA43E6"/>
    <w:rsid w:val="00BB10E8"/>
    <w:rsid w:val="00BB413B"/>
    <w:rsid w:val="00BB7894"/>
    <w:rsid w:val="00BD3D16"/>
    <w:rsid w:val="00BE2F6D"/>
    <w:rsid w:val="00BE687D"/>
    <w:rsid w:val="00BF42DD"/>
    <w:rsid w:val="00BF459C"/>
    <w:rsid w:val="00C04FB1"/>
    <w:rsid w:val="00C075C3"/>
    <w:rsid w:val="00C101D1"/>
    <w:rsid w:val="00C119E1"/>
    <w:rsid w:val="00C12F13"/>
    <w:rsid w:val="00C13274"/>
    <w:rsid w:val="00C13835"/>
    <w:rsid w:val="00C17969"/>
    <w:rsid w:val="00C32DEC"/>
    <w:rsid w:val="00C33BCF"/>
    <w:rsid w:val="00C36108"/>
    <w:rsid w:val="00C44B33"/>
    <w:rsid w:val="00C62ED4"/>
    <w:rsid w:val="00C658AD"/>
    <w:rsid w:val="00C65DCC"/>
    <w:rsid w:val="00C77F9F"/>
    <w:rsid w:val="00C810C5"/>
    <w:rsid w:val="00C81730"/>
    <w:rsid w:val="00C84EF8"/>
    <w:rsid w:val="00C90645"/>
    <w:rsid w:val="00C91976"/>
    <w:rsid w:val="00CA01EC"/>
    <w:rsid w:val="00CA0722"/>
    <w:rsid w:val="00CB014E"/>
    <w:rsid w:val="00CB748B"/>
    <w:rsid w:val="00CD1673"/>
    <w:rsid w:val="00CE0F60"/>
    <w:rsid w:val="00CE31BA"/>
    <w:rsid w:val="00CE5580"/>
    <w:rsid w:val="00CF54E4"/>
    <w:rsid w:val="00D001DD"/>
    <w:rsid w:val="00D11990"/>
    <w:rsid w:val="00D12BC3"/>
    <w:rsid w:val="00D232E6"/>
    <w:rsid w:val="00D34A89"/>
    <w:rsid w:val="00D34C78"/>
    <w:rsid w:val="00D44A56"/>
    <w:rsid w:val="00D54F26"/>
    <w:rsid w:val="00D63593"/>
    <w:rsid w:val="00D656FA"/>
    <w:rsid w:val="00D717F5"/>
    <w:rsid w:val="00D835DD"/>
    <w:rsid w:val="00D862A5"/>
    <w:rsid w:val="00DA6D97"/>
    <w:rsid w:val="00DA753E"/>
    <w:rsid w:val="00DB00DE"/>
    <w:rsid w:val="00DB68E7"/>
    <w:rsid w:val="00DC0F19"/>
    <w:rsid w:val="00DC2814"/>
    <w:rsid w:val="00DC503E"/>
    <w:rsid w:val="00DC53BE"/>
    <w:rsid w:val="00DC703A"/>
    <w:rsid w:val="00DC7F96"/>
    <w:rsid w:val="00DD0392"/>
    <w:rsid w:val="00DD3B36"/>
    <w:rsid w:val="00DD489F"/>
    <w:rsid w:val="00DE2448"/>
    <w:rsid w:val="00DE2D80"/>
    <w:rsid w:val="00DE79DA"/>
    <w:rsid w:val="00DF1BF3"/>
    <w:rsid w:val="00DF3B7A"/>
    <w:rsid w:val="00DF51B7"/>
    <w:rsid w:val="00E0009D"/>
    <w:rsid w:val="00E01892"/>
    <w:rsid w:val="00E02984"/>
    <w:rsid w:val="00E1596E"/>
    <w:rsid w:val="00E32015"/>
    <w:rsid w:val="00E33BC3"/>
    <w:rsid w:val="00E36410"/>
    <w:rsid w:val="00E41C79"/>
    <w:rsid w:val="00E51888"/>
    <w:rsid w:val="00E53CF5"/>
    <w:rsid w:val="00E61EFF"/>
    <w:rsid w:val="00E62DB5"/>
    <w:rsid w:val="00E704BE"/>
    <w:rsid w:val="00E865A9"/>
    <w:rsid w:val="00E878EB"/>
    <w:rsid w:val="00E92891"/>
    <w:rsid w:val="00E940B8"/>
    <w:rsid w:val="00EC3568"/>
    <w:rsid w:val="00ED2624"/>
    <w:rsid w:val="00ED4930"/>
    <w:rsid w:val="00EE03D9"/>
    <w:rsid w:val="00EE1738"/>
    <w:rsid w:val="00EF3F24"/>
    <w:rsid w:val="00EF6FAF"/>
    <w:rsid w:val="00F0231C"/>
    <w:rsid w:val="00F30B7D"/>
    <w:rsid w:val="00F34147"/>
    <w:rsid w:val="00F4092F"/>
    <w:rsid w:val="00F4254E"/>
    <w:rsid w:val="00F61AFF"/>
    <w:rsid w:val="00F62ECE"/>
    <w:rsid w:val="00F66E93"/>
    <w:rsid w:val="00F67B9E"/>
    <w:rsid w:val="00F70257"/>
    <w:rsid w:val="00F71807"/>
    <w:rsid w:val="00F76B0E"/>
    <w:rsid w:val="00F926F8"/>
    <w:rsid w:val="00F94A80"/>
    <w:rsid w:val="00FA57F9"/>
    <w:rsid w:val="00FB66B4"/>
    <w:rsid w:val="00FB6AA8"/>
    <w:rsid w:val="00FC0AEE"/>
    <w:rsid w:val="00FC0E12"/>
    <w:rsid w:val="00FC24DB"/>
    <w:rsid w:val="00FC26B8"/>
    <w:rsid w:val="00FC5340"/>
    <w:rsid w:val="00FD428C"/>
    <w:rsid w:val="00FD6EE6"/>
    <w:rsid w:val="00FE1FDA"/>
    <w:rsid w:val="00FE2566"/>
    <w:rsid w:val="00FE2982"/>
    <w:rsid w:val="00FE4516"/>
    <w:rsid w:val="00FE5844"/>
    <w:rsid w:val="00FF17C8"/>
    <w:rsid w:val="00FF2E5F"/>
    <w:rsid w:val="00FF3709"/>
    <w:rsid w:val="0D5F1F38"/>
    <w:rsid w:val="0ECB7DBC"/>
    <w:rsid w:val="139521FE"/>
    <w:rsid w:val="1CDD7A8D"/>
    <w:rsid w:val="1D776AFE"/>
    <w:rsid w:val="2DE5633D"/>
    <w:rsid w:val="2F7E0FD9"/>
    <w:rsid w:val="30F027A5"/>
    <w:rsid w:val="3A010055"/>
    <w:rsid w:val="3F154B89"/>
    <w:rsid w:val="438528AA"/>
    <w:rsid w:val="4A711D2F"/>
    <w:rsid w:val="5CF04596"/>
    <w:rsid w:val="72C45886"/>
    <w:rsid w:val="72D22C92"/>
    <w:rsid w:val="730D607E"/>
    <w:rsid w:val="7B4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87EDAE"/>
  <w15:docId w15:val="{2E4CE1C0-360A-4AD7-9D15-A81076DB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bCs/>
      <w:kern w:val="0"/>
      <w:sz w:val="27"/>
      <w:szCs w:val="27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Autospacing="1" w:afterAutospacing="1"/>
      <w:jc w:val="left"/>
      <w:outlineLvl w:val="5"/>
    </w:pPr>
    <w:rPr>
      <w:rFonts w:ascii="宋体" w:hAnsi="宋体" w:hint="eastAsia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widowControl/>
      <w:tabs>
        <w:tab w:val="center" w:pos="4153"/>
        <w:tab w:val="right" w:pos="8306"/>
      </w:tabs>
      <w:adjustRightInd w:val="0"/>
      <w:snapToGrid w:val="0"/>
      <w:spacing w:after="200"/>
      <w:jc w:val="left"/>
    </w:pPr>
    <w:rPr>
      <w:rFonts w:ascii="Tahoma" w:eastAsia="微软雅黑" w:hAnsi="Tahoma" w:cstheme="minorBidi"/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adjustRightInd w:val="0"/>
      <w:snapToGrid w:val="0"/>
      <w:spacing w:after="200"/>
      <w:jc w:val="center"/>
    </w:pPr>
    <w:rPr>
      <w:rFonts w:ascii="Tahoma" w:eastAsia="微软雅黑" w:hAnsi="Tahoma" w:cstheme="minorBidi"/>
      <w:kern w:val="0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rPr>
      <w:sz w:val="24"/>
    </w:rPr>
  </w:style>
  <w:style w:type="table" w:styleId="aa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page number"/>
    <w:basedOn w:val="a0"/>
    <w:qFormat/>
  </w:style>
  <w:style w:type="character" w:styleId="ad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kern w:val="2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token">
    <w:name w:val="token"/>
    <w:basedOn w:val="a0"/>
    <w:qFormat/>
  </w:style>
  <w:style w:type="paragraph" w:customStyle="1" w:styleId="DecimalAligned">
    <w:name w:val="Decimal Aligned"/>
    <w:basedOn w:val="a"/>
    <w:uiPriority w:val="40"/>
    <w:qFormat/>
    <w:rsid w:val="002D731A"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f0">
    <w:name w:val="footnote text"/>
    <w:basedOn w:val="a"/>
    <w:link w:val="af1"/>
    <w:uiPriority w:val="99"/>
    <w:unhideWhenUsed/>
    <w:rsid w:val="002D731A"/>
    <w:pPr>
      <w:widowControl/>
      <w:jc w:val="left"/>
    </w:pPr>
    <w:rPr>
      <w:rFonts w:asciiTheme="minorHAnsi" w:eastAsiaTheme="minorEastAsia" w:hAnsiTheme="minorHAnsi"/>
      <w:kern w:val="0"/>
      <w:sz w:val="20"/>
      <w:szCs w:val="20"/>
    </w:rPr>
  </w:style>
  <w:style w:type="character" w:customStyle="1" w:styleId="af1">
    <w:name w:val="脚注文本 字符"/>
    <w:basedOn w:val="a0"/>
    <w:link w:val="af0"/>
    <w:uiPriority w:val="99"/>
    <w:rsid w:val="002D731A"/>
    <w:rPr>
      <w:rFonts w:asciiTheme="minorHAnsi" w:eastAsiaTheme="minorEastAsia" w:hAnsiTheme="minorHAnsi"/>
    </w:rPr>
  </w:style>
  <w:style w:type="character" w:styleId="af2">
    <w:name w:val="Subtle Emphasis"/>
    <w:basedOn w:val="a0"/>
    <w:uiPriority w:val="19"/>
    <w:qFormat/>
    <w:rsid w:val="002D731A"/>
    <w:rPr>
      <w:i/>
      <w:iCs/>
    </w:rPr>
  </w:style>
  <w:style w:type="table" w:styleId="-1">
    <w:name w:val="Light Shading Accent 1"/>
    <w:basedOn w:val="a1"/>
    <w:uiPriority w:val="60"/>
    <w:rsid w:val="002D731A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623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9150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7046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502426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74006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44403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15997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83715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99595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97096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9342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80518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51513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100325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538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11070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096510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9487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54075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5446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564520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0956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300303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1206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74683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38105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66254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5872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20319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309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D6D8-FCB9-4C54-9391-132949FD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1442</Words>
  <Characters>1472</Characters>
  <Application>Microsoft Office Word</Application>
  <DocSecurity>0</DocSecurity>
  <Lines>81</Lines>
  <Paragraphs>37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20069049</dc:creator>
  <cp:lastModifiedBy>旭 田</cp:lastModifiedBy>
  <cp:revision>6</cp:revision>
  <cp:lastPrinted>2015-03-25T05:54:00Z</cp:lastPrinted>
  <dcterms:created xsi:type="dcterms:W3CDTF">2025-04-29T11:45:00Z</dcterms:created>
  <dcterms:modified xsi:type="dcterms:W3CDTF">2025-04-30T07:29:00Z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F2C020CBE8C0474199B23158FA8B7C5B_12</vt:lpwstr>
  </property>
  <property fmtid="{D5CDD505-2E9C-101B-9397-08002B2CF9AE}" pid="4" name="KSOTemplateDocerSaveRecord">
    <vt:lpwstr>eyJoZGlkIjoiNWJjYTI1NTljNmE5ZWU5YmYxNTNmOWM0ZDg4MGJjYzMiLCJ1c2VySWQiOiI5Nzk2OTMwNzYifQ==</vt:lpwstr>
  </property>
</Properties>
</file>