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00F" w:rsidRPr="00C9234F" w:rsidRDefault="00A2600F" w:rsidP="00A2600F">
      <w:pPr>
        <w:pStyle w:val="1"/>
        <w:spacing w:before="240" w:after="200"/>
      </w:pPr>
      <w:r w:rsidRPr="00C9234F">
        <w:t>以色列商標</w:t>
      </w:r>
    </w:p>
    <w:p w:rsidR="00A2600F" w:rsidRDefault="00A2600F" w:rsidP="00A2600F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7" w:history="1">
        <w:r w:rsidRPr="005103DE">
          <w:rPr>
            <w:rStyle w:val="a4"/>
            <w:sz w:val="24"/>
            <w:szCs w:val="24"/>
          </w:rPr>
          <w:t>以色列專利局商標處（Israel Patent Office / Israel Trademarks Department, ILPO）</w:t>
        </w:r>
      </w:hyperlink>
    </w:p>
    <w:p w:rsidR="00A2600F" w:rsidRPr="008E5C3E" w:rsidRDefault="00A2600F" w:rsidP="00A2600F">
      <w:pPr>
        <w:spacing w:before="60" w:after="160"/>
        <w:rPr>
          <w:sz w:val="24"/>
          <w:szCs w:val="24"/>
        </w:rPr>
      </w:pPr>
    </w:p>
    <w:tbl>
      <w:tblPr>
        <w:tblW w:w="14034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70"/>
        <w:gridCol w:w="30"/>
        <w:gridCol w:w="11034"/>
      </w:tblGrid>
      <w:tr w:rsidR="00A2600F" w:rsidRPr="008E5C3E" w:rsidTr="00477369">
        <w:tc>
          <w:tcPr>
            <w:tcW w:w="14034" w:type="dxa"/>
            <w:gridSpan w:val="4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rFonts w:cs="Times New Roman"/>
                <w:sz w:val="24"/>
                <w:szCs w:val="24"/>
              </w:rPr>
            </w:pPr>
            <w:r w:rsidRPr="008E5C3E">
              <w:rPr>
                <w:rFonts w:cs="Times New Roman"/>
                <w:b/>
                <w:bCs/>
                <w:color w:val="FFFFFF"/>
                <w:sz w:val="24"/>
                <w:szCs w:val="24"/>
              </w:rPr>
              <w:t>商標</w:t>
            </w:r>
          </w:p>
        </w:tc>
      </w:tr>
      <w:tr w:rsidR="00A2600F" w:rsidRPr="008E5C3E" w:rsidTr="00477369">
        <w:tc>
          <w:tcPr>
            <w:tcW w:w="1300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申請要件</w:t>
            </w:r>
          </w:p>
        </w:tc>
        <w:tc>
          <w:tcPr>
            <w:tcW w:w="1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具備識別性</w:t>
            </w:r>
          </w:p>
        </w:tc>
        <w:tc>
          <w:tcPr>
            <w:tcW w:w="11064" w:type="dxa"/>
            <w:gridSpan w:val="2"/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標誌能夠將標誌所有人的商品與他人的商品區分開來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</w:p>
        </w:tc>
        <w:tc>
          <w:tcPr>
            <w:tcW w:w="16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spacing w:after="60"/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不得註冊事由</w:t>
            </w:r>
          </w:p>
        </w:tc>
        <w:tc>
          <w:tcPr>
            <w:tcW w:w="11064" w:type="dxa"/>
            <w:gridSpan w:val="2"/>
            <w:vAlign w:val="center"/>
          </w:tcPr>
          <w:p w:rsidR="00A2600F" w:rsidRPr="008E5C3E" w:rsidRDefault="00A2600F" w:rsidP="00A2600F">
            <w:pPr>
              <w:pStyle w:val="a3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違反或可能違反公共政策或道德的標誌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  <w:p w:rsidR="00A2600F" w:rsidRPr="008E5C3E" w:rsidRDefault="00A2600F" w:rsidP="00A2600F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可能誤導公眾的商標、含有虛假原產地資訊的商標以及鼓勵不正當競爭的商標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  <w:p w:rsidR="00A2600F" w:rsidRPr="008E5C3E" w:rsidRDefault="00A2600F" w:rsidP="00A2600F">
            <w:pPr>
              <w:pStyle w:val="a3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與他人或其企業的名稱相同或相似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A2600F" w:rsidRPr="008E5C3E" w:rsidTr="00477369">
        <w:tc>
          <w:tcPr>
            <w:tcW w:w="13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優先權</w:t>
            </w:r>
          </w:p>
        </w:tc>
        <w:tc>
          <w:tcPr>
            <w:tcW w:w="1273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若該商標已在</w:t>
            </w:r>
            <w:r w:rsidRPr="008E5C3E">
              <w:rPr>
                <w:rFonts w:hint="eastAsia"/>
                <w:sz w:val="24"/>
                <w:szCs w:val="24"/>
              </w:rPr>
              <w:t>台灣</w:t>
            </w:r>
            <w:r w:rsidRPr="008E5C3E">
              <w:rPr>
                <w:sz w:val="24"/>
                <w:szCs w:val="24"/>
              </w:rPr>
              <w:t>或</w:t>
            </w:r>
            <w:r w:rsidRPr="008E5C3E">
              <w:rPr>
                <w:rFonts w:hint="eastAsia"/>
                <w:sz w:val="24"/>
                <w:szCs w:val="24"/>
              </w:rPr>
              <w:t>其他WTO會員國</w:t>
            </w:r>
            <w:r w:rsidRPr="008E5C3E">
              <w:rPr>
                <w:sz w:val="24"/>
                <w:szCs w:val="24"/>
              </w:rPr>
              <w:t>第一次提出申請，可在6個月內向ILPO主張優先權。</w:t>
            </w:r>
          </w:p>
        </w:tc>
      </w:tr>
      <w:tr w:rsidR="00A2600F" w:rsidRPr="008E5C3E" w:rsidTr="00477369">
        <w:tc>
          <w:tcPr>
            <w:tcW w:w="1300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申請程序</w:t>
            </w: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1.商標檢索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於ILPO</w:t>
            </w:r>
            <w:proofErr w:type="gramStart"/>
            <w:r w:rsidRPr="008E5C3E">
              <w:rPr>
                <w:sz w:val="24"/>
                <w:szCs w:val="24"/>
              </w:rPr>
              <w:t>線上資料庫</w:t>
            </w:r>
            <w:proofErr w:type="gramEnd"/>
            <w:r w:rsidRPr="008E5C3E">
              <w:rPr>
                <w:sz w:val="24"/>
                <w:szCs w:val="24"/>
              </w:rPr>
              <w:t>進行檢索，確認是否有相同或近似之商標已存在。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2.提交申請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準備商標圖樣、指定商品/服務類別（採用尼斯分類），並載明申請人名稱、地址、國籍等資料，向ILPO遞交申請。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3.官方審查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包含形式審查與實質審查（顯著性、是否與他案商標衝突等）。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4.公告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審查通過後於商標公報公告，公告期間為3個月且不得延展，任何人得於此期間提出異議。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5.核准發證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公告期滿無人異議，或異議程序終結後有利於申請人，核發商標註冊證。</w:t>
            </w:r>
          </w:p>
        </w:tc>
      </w:tr>
      <w:tr w:rsidR="00A2600F" w:rsidRPr="008E5C3E" w:rsidTr="00477369">
        <w:tc>
          <w:tcPr>
            <w:tcW w:w="13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lastRenderedPageBreak/>
              <w:t>審查期間</w:t>
            </w:r>
          </w:p>
        </w:tc>
        <w:tc>
          <w:tcPr>
            <w:tcW w:w="12734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約</w:t>
            </w:r>
            <w:r w:rsidRPr="008E5C3E">
              <w:rPr>
                <w:rFonts w:hint="eastAsia"/>
                <w:sz w:val="24"/>
                <w:szCs w:val="24"/>
              </w:rPr>
              <w:t>9</w:t>
            </w:r>
            <w:r w:rsidRPr="008E5C3E">
              <w:rPr>
                <w:sz w:val="24"/>
                <w:szCs w:val="24"/>
              </w:rPr>
              <w:t>至</w:t>
            </w:r>
            <w:r w:rsidRPr="008E5C3E">
              <w:rPr>
                <w:rFonts w:hint="eastAsia"/>
                <w:sz w:val="24"/>
                <w:szCs w:val="24"/>
              </w:rPr>
              <w:t>12</w:t>
            </w:r>
            <w:r w:rsidRPr="008E5C3E">
              <w:rPr>
                <w:sz w:val="24"/>
                <w:szCs w:val="24"/>
              </w:rPr>
              <w:t>個月（若無核駁）。</w:t>
            </w:r>
          </w:p>
        </w:tc>
      </w:tr>
      <w:tr w:rsidR="00A2600F" w:rsidRPr="008E5C3E" w:rsidTr="00477369">
        <w:tc>
          <w:tcPr>
            <w:tcW w:w="1300" w:type="dxa"/>
            <w:vMerge w:val="restart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商標權</w:t>
            </w: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A.權利期間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自申請</w:t>
            </w:r>
            <w:r w:rsidRPr="00D777E1">
              <w:rPr>
                <w:rFonts w:hint="eastAsia"/>
                <w:sz w:val="24"/>
                <w:szCs w:val="24"/>
              </w:rPr>
              <w:t>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B.延展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屆滿後每次可延展10年，得無限次延展；應於屆滿前3個月內申請延展。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C.延展寬限期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屆滿後6個月內為延展寬限期。</w:t>
            </w:r>
          </w:p>
        </w:tc>
      </w:tr>
      <w:tr w:rsidR="00A2600F" w:rsidRPr="008E5C3E" w:rsidTr="00477369">
        <w:tc>
          <w:tcPr>
            <w:tcW w:w="1300" w:type="dxa"/>
            <w:vMerge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b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D.使用證明</w:t>
            </w:r>
          </w:p>
        </w:tc>
        <w:tc>
          <w:tcPr>
            <w:tcW w:w="110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2600F" w:rsidRPr="008E5C3E" w:rsidRDefault="00A2600F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以色列無強制申報使用證明之規定；</w:t>
            </w:r>
            <w:proofErr w:type="gramStart"/>
            <w:r w:rsidRPr="008E5C3E">
              <w:rPr>
                <w:sz w:val="24"/>
                <w:szCs w:val="24"/>
              </w:rPr>
              <w:t>惟</w:t>
            </w:r>
            <w:proofErr w:type="gramEnd"/>
            <w:r w:rsidRPr="008E5C3E">
              <w:rPr>
                <w:sz w:val="24"/>
                <w:szCs w:val="24"/>
              </w:rPr>
              <w:t>商標自註冊日起連續3年未使用，得由第三人申請廢止。</w:t>
            </w:r>
          </w:p>
        </w:tc>
      </w:tr>
    </w:tbl>
    <w:p w:rsidR="00A2600F" w:rsidRPr="008E5C3E" w:rsidRDefault="00A2600F" w:rsidP="00A2600F">
      <w:pPr>
        <w:spacing w:before="60" w:after="60"/>
        <w:rPr>
          <w:sz w:val="24"/>
          <w:szCs w:val="24"/>
        </w:rPr>
      </w:pPr>
    </w:p>
    <w:p w:rsidR="00CA4D5F" w:rsidRPr="00A2600F" w:rsidRDefault="00CA4D5F">
      <w:bookmarkStart w:id="0" w:name="_GoBack"/>
      <w:bookmarkEnd w:id="0"/>
    </w:p>
    <w:sectPr w:rsidR="00CA4D5F" w:rsidRPr="00A2600F" w:rsidSect="00A2600F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84575"/>
    <w:multiLevelType w:val="hybridMultilevel"/>
    <w:tmpl w:val="CBD67E1C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312C1C12"/>
    <w:multiLevelType w:val="hybridMultilevel"/>
    <w:tmpl w:val="17824BCA"/>
    <w:lvl w:ilvl="0" w:tplc="EA9E7556">
      <w:numFmt w:val="bullet"/>
      <w:lvlText w:val="–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00F"/>
    <w:rsid w:val="00A2600F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600F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A2600F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A2600F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A2600F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A2600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600F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A2600F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A2600F"/>
    <w:rPr>
      <w:rFonts w:ascii="標楷體" w:eastAsia="標楷體" w:hAnsi="標楷體" w:cs="標楷體"/>
      <w:b/>
      <w:bCs/>
      <w:kern w:val="0"/>
      <w:sz w:val="36"/>
      <w:szCs w:val="36"/>
    </w:rPr>
  </w:style>
  <w:style w:type="paragraph" w:styleId="a3">
    <w:name w:val="List Paragraph"/>
    <w:qFormat/>
    <w:rsid w:val="00A2600F"/>
    <w:rPr>
      <w:rFonts w:ascii="標楷體" w:eastAsia="標楷體" w:hAnsi="標楷體" w:cs="標楷體"/>
      <w:kern w:val="0"/>
      <w:sz w:val="20"/>
      <w:szCs w:val="20"/>
    </w:rPr>
  </w:style>
  <w:style w:type="character" w:styleId="a4">
    <w:name w:val="Hyperlink"/>
    <w:uiPriority w:val="99"/>
    <w:unhideWhenUsed/>
    <w:rsid w:val="00A2600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v.il/en/pages/tm-online-servic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5FD25-6EC5-4B73-B261-E02BCB935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2026-08-05T01:46:00Z</dcterms:created>
  <dcterms:modified xsi:type="dcterms:W3CDTF">2026-08-05T01:46:00Z</dcterms:modified>
</cp:coreProperties>
</file>