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D3E" w:rsidRPr="008E5C3E" w:rsidRDefault="001D2D3E" w:rsidP="001D2D3E">
      <w:pPr>
        <w:pStyle w:val="1"/>
        <w:spacing w:before="240" w:after="200"/>
        <w:rPr>
          <w:szCs w:val="24"/>
        </w:rPr>
      </w:pPr>
      <w:r w:rsidRPr="008E5C3E">
        <w:rPr>
          <w:szCs w:val="24"/>
        </w:rPr>
        <w:t>巴西商標</w:t>
      </w:r>
      <w:bookmarkStart w:id="0" w:name="_GoBack"/>
      <w:bookmarkEnd w:id="0"/>
    </w:p>
    <w:p w:rsidR="001D2D3E" w:rsidRPr="008E5C3E" w:rsidRDefault="001D2D3E" w:rsidP="001D2D3E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6" w:history="1">
        <w:r w:rsidRPr="00B7357F">
          <w:rPr>
            <w:rStyle w:val="a3"/>
            <w:rFonts w:hint="eastAsia"/>
            <w:sz w:val="24"/>
            <w:szCs w:val="24"/>
          </w:rPr>
          <w:t>國家工業財產局（</w:t>
        </w:r>
        <w:r w:rsidRPr="00B7357F">
          <w:rPr>
            <w:rStyle w:val="a3"/>
            <w:sz w:val="24"/>
            <w:szCs w:val="24"/>
          </w:rPr>
          <w:t>Instituto Nacional da Propriedade Industrial, INPI）</w:t>
        </w:r>
      </w:hyperlink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0065"/>
      </w:tblGrid>
      <w:tr w:rsidR="001D2D3E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D2D3E" w:rsidRPr="008E5C3E" w:rsidRDefault="001D2D3E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12758" w:type="dxa"/>
            <w:gridSpan w:val="2"/>
            <w:shd w:val="clear" w:color="auto" w:fill="1F4E79"/>
          </w:tcPr>
          <w:p w:rsidR="001D2D3E" w:rsidRPr="008E5C3E" w:rsidRDefault="001D2D3E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1D2D3E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凡具識別性且非屬法律禁止規定之視覺可感知標誌。</w:t>
            </w:r>
          </w:p>
        </w:tc>
      </w:tr>
      <w:tr w:rsidR="001D2D3E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1D2D3E" w:rsidRPr="008E5C3E" w:rsidRDefault="001D2D3E" w:rsidP="00477369">
            <w:pPr>
              <w:widowControl/>
              <w:shd w:val="clear" w:color="auto" w:fill="FFFFFF"/>
              <w:spacing w:after="173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不能註冊事由</w:t>
            </w:r>
          </w:p>
        </w:tc>
        <w:tc>
          <w:tcPr>
            <w:tcW w:w="10065" w:type="dxa"/>
            <w:shd w:val="clear" w:color="auto" w:fill="FFFFFF"/>
          </w:tcPr>
          <w:p w:rsidR="001D2D3E" w:rsidRPr="008E5C3E" w:rsidRDefault="001D2D3E" w:rsidP="001D2D3E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違反善良風俗或道德之文字、圖形、設計或任何其他標誌。</w:t>
            </w:r>
          </w:p>
          <w:p w:rsidR="001D2D3E" w:rsidRPr="008E5C3E" w:rsidRDefault="001D2D3E" w:rsidP="001D2D3E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摹仿或仿製他人商號名稱或公司名稱之具特徵性或區別性之要素，且足以導致與該等識別標誌產生混淆或誤認之虞者。</w:t>
            </w:r>
          </w:p>
          <w:p w:rsidR="001D2D3E" w:rsidRPr="008E5C3E" w:rsidRDefault="001D2D3E" w:rsidP="001D2D3E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屬通用性、必要性、共通性、通俗性或僅具描述性之標誌。</w:t>
            </w:r>
          </w:p>
          <w:p w:rsidR="001D2D3E" w:rsidRPr="008E5C3E" w:rsidRDefault="001D2D3E" w:rsidP="001D2D3E">
            <w:pPr>
              <w:pStyle w:val="a4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單獨之字母、數字及日期，但具有足夠之識別性顯著特徵者不在此限。</w:t>
            </w:r>
          </w:p>
        </w:tc>
      </w:tr>
      <w:tr w:rsidR="001D2D3E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若該商標已在台灣或其他WTO會員國第一次提出申請，可在6個月內向巴西國家工業財產局主張優先權。</w:t>
            </w:r>
          </w:p>
        </w:tc>
      </w:tr>
      <w:tr w:rsidR="001D2D3E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065" w:type="dxa"/>
            <w:shd w:val="clear" w:color="auto" w:fill="EBF3FB"/>
          </w:tcPr>
          <w:p w:rsidR="001D2D3E" w:rsidRPr="008E5C3E" w:rsidRDefault="001D2D3E" w:rsidP="001D2D3E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</w:t>
            </w:r>
            <w:r w:rsidRPr="008E5C3E">
              <w:rPr>
                <w:rFonts w:hint="eastAsia"/>
                <w:sz w:val="24"/>
                <w:szCs w:val="24"/>
              </w:rPr>
              <w:t>INPI資料庫進行檢索，確認是否有相同或近似商標已存在，以降低被駁回風險。</w:t>
            </w:r>
          </w:p>
        </w:tc>
      </w:tr>
      <w:tr w:rsidR="001D2D3E" w:rsidRPr="008E5C3E" w:rsidTr="00477369">
        <w:trPr>
          <w:trHeight w:val="188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10065" w:type="dxa"/>
            <w:shd w:val="clear" w:color="auto" w:fill="EBF3FB"/>
          </w:tcPr>
          <w:p w:rsidR="001D2D3E" w:rsidRPr="008E5C3E" w:rsidRDefault="001D2D3E" w:rsidP="001D2D3E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</w:t>
            </w:r>
            <w:r w:rsidRPr="008E5C3E">
              <w:rPr>
                <w:rFonts w:hint="eastAsia"/>
                <w:sz w:val="24"/>
                <w:szCs w:val="24"/>
              </w:rPr>
              <w:t>INPI</w:t>
            </w:r>
            <w:r w:rsidRPr="008E5C3E">
              <w:rPr>
                <w:sz w:val="24"/>
                <w:szCs w:val="24"/>
              </w:rPr>
              <w:t>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1D2D3E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10065" w:type="dxa"/>
            <w:shd w:val="clear" w:color="auto" w:fill="EBF3FB"/>
          </w:tcPr>
          <w:p w:rsidR="001D2D3E" w:rsidRPr="008E5C3E" w:rsidRDefault="001D2D3E" w:rsidP="001D2D3E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與實質審查(是否具備顯著性、是否與他案衝突等)。</w:t>
            </w:r>
          </w:p>
        </w:tc>
      </w:tr>
      <w:tr w:rsidR="001D2D3E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10065" w:type="dxa"/>
            <w:shd w:val="clear" w:color="auto" w:fill="EBF3FB"/>
          </w:tcPr>
          <w:p w:rsidR="001D2D3E" w:rsidRPr="008E5C3E" w:rsidRDefault="001D2D3E" w:rsidP="001D2D3E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</w:t>
            </w:r>
            <w:r w:rsidRPr="008E5C3E">
              <w:rPr>
                <w:rFonts w:hint="eastAsia"/>
                <w:sz w:val="24"/>
                <w:szCs w:val="24"/>
              </w:rPr>
              <w:t>2</w:t>
            </w:r>
            <w:r w:rsidRPr="008E5C3E">
              <w:rPr>
                <w:sz w:val="24"/>
                <w:szCs w:val="24"/>
              </w:rPr>
              <w:t>個月，在此期間內利害關係人可提出異議。</w:t>
            </w:r>
          </w:p>
        </w:tc>
      </w:tr>
      <w:tr w:rsidR="001D2D3E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10065" w:type="dxa"/>
            <w:shd w:val="clear" w:color="auto" w:fill="EBF3FB"/>
          </w:tcPr>
          <w:p w:rsidR="001D2D3E" w:rsidRPr="008E5C3E" w:rsidRDefault="001D2D3E" w:rsidP="001D2D3E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1D2D3E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審查期間</w:t>
            </w:r>
          </w:p>
        </w:tc>
        <w:tc>
          <w:tcPr>
            <w:tcW w:w="12758" w:type="dxa"/>
            <w:gridSpan w:val="2"/>
            <w:shd w:val="clear" w:color="auto" w:fill="EBF3FB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約12</w:t>
            </w:r>
            <w:r w:rsidRPr="008E5C3E">
              <w:rPr>
                <w:rFonts w:hint="eastAsia"/>
                <w:sz w:val="24"/>
                <w:szCs w:val="24"/>
              </w:rPr>
              <w:t>-20</w:t>
            </w:r>
            <w:r w:rsidRPr="008E5C3E">
              <w:rPr>
                <w:sz w:val="24"/>
                <w:szCs w:val="24"/>
              </w:rPr>
              <w:t>個月。(若無核駁)</w:t>
            </w:r>
          </w:p>
        </w:tc>
      </w:tr>
      <w:tr w:rsidR="001D2D3E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lastRenderedPageBreak/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自註冊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1D2D3E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屆滿後每次可延展10年，延展於屆滿前6個月可提出，得無限次延展。</w:t>
            </w:r>
          </w:p>
        </w:tc>
      </w:tr>
      <w:tr w:rsidR="001D2D3E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1D2D3E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2D3E" w:rsidRPr="008E5C3E" w:rsidRDefault="001D2D3E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2D3E" w:rsidRPr="008E5C3E" w:rsidRDefault="001D2D3E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延展不須提供使用證據。</w:t>
            </w:r>
          </w:p>
        </w:tc>
      </w:tr>
    </w:tbl>
    <w:p w:rsidR="00CA4D5F" w:rsidRPr="001D2D3E" w:rsidRDefault="00CA4D5F"/>
    <w:sectPr w:rsidR="00CA4D5F" w:rsidRPr="001D2D3E" w:rsidSect="001D2D3E">
      <w:pgSz w:w="16838" w:h="11906" w:orient="landscape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A4AD4"/>
    <w:multiLevelType w:val="hybridMultilevel"/>
    <w:tmpl w:val="D262BB1E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D3E"/>
    <w:rsid w:val="001D2D3E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D3E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1D2D3E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1D2D3E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1D2D3E"/>
    <w:rPr>
      <w:color w:val="0563C1"/>
      <w:u w:val="single"/>
    </w:rPr>
  </w:style>
  <w:style w:type="paragraph" w:styleId="a4">
    <w:name w:val="No Spacing"/>
    <w:uiPriority w:val="1"/>
    <w:qFormat/>
    <w:rsid w:val="001D2D3E"/>
    <w:pPr>
      <w:widowControl w:val="0"/>
    </w:pPr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D3E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1D2D3E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1D2D3E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1D2D3E"/>
    <w:rPr>
      <w:color w:val="0563C1"/>
      <w:u w:val="single"/>
    </w:rPr>
  </w:style>
  <w:style w:type="paragraph" w:styleId="a4">
    <w:name w:val="No Spacing"/>
    <w:uiPriority w:val="1"/>
    <w:qFormat/>
    <w:rsid w:val="001D2D3E"/>
    <w:pPr>
      <w:widowControl w:val="0"/>
    </w:pPr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inpi/pt-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2026-08-05T01:43:00Z</dcterms:created>
  <dcterms:modified xsi:type="dcterms:W3CDTF">2026-08-05T01:43:00Z</dcterms:modified>
</cp:coreProperties>
</file>