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0181" w:rsidRPr="00DD3957" w:rsidRDefault="00D30181" w:rsidP="00D30181">
      <w:pPr>
        <w:widowControl/>
        <w:rPr>
          <w:b/>
          <w:bCs/>
          <w:sz w:val="44"/>
          <w:szCs w:val="24"/>
        </w:rPr>
      </w:pPr>
      <w:r w:rsidRPr="00DD3957">
        <w:rPr>
          <w:b/>
          <w:sz w:val="36"/>
          <w:szCs w:val="24"/>
        </w:rPr>
        <w:t>智利商標</w:t>
      </w:r>
    </w:p>
    <w:p w:rsidR="00D30181" w:rsidRPr="00B7357F" w:rsidRDefault="00D30181" w:rsidP="00D30181">
      <w:pPr>
        <w:spacing w:before="60" w:after="160"/>
        <w:rPr>
          <w:sz w:val="24"/>
          <w:szCs w:val="24"/>
        </w:rPr>
      </w:pPr>
      <w:r w:rsidRPr="008E5C3E">
        <w:rPr>
          <w:b/>
          <w:bCs/>
          <w:sz w:val="24"/>
          <w:szCs w:val="24"/>
        </w:rPr>
        <w:t>主管機關：</w:t>
      </w:r>
      <w:hyperlink r:id="rId6" w:history="1">
        <w:r w:rsidRPr="00B7357F">
          <w:rPr>
            <w:rStyle w:val="a4"/>
            <w:sz w:val="24"/>
            <w:szCs w:val="24"/>
          </w:rPr>
          <w:t>智利國家工業財產局（Instituto Nacional de Propiedad Industrial, INAPI）</w:t>
        </w:r>
      </w:hyperlink>
    </w:p>
    <w:tbl>
      <w:tblPr>
        <w:tblW w:w="13892"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70"/>
        <w:gridCol w:w="30"/>
        <w:gridCol w:w="10892"/>
      </w:tblGrid>
      <w:tr w:rsidR="00D30181" w:rsidRPr="008E5C3E" w:rsidTr="00477369">
        <w:tc>
          <w:tcPr>
            <w:tcW w:w="13892" w:type="dxa"/>
            <w:gridSpan w:val="4"/>
            <w:shd w:val="clear" w:color="auto" w:fill="1F4E79"/>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FFFFFF"/>
                <w:sz w:val="24"/>
                <w:szCs w:val="24"/>
              </w:rPr>
              <w:t>商標</w:t>
            </w:r>
          </w:p>
        </w:tc>
      </w:tr>
      <w:tr w:rsidR="00D30181" w:rsidRPr="008E5C3E" w:rsidTr="00477369">
        <w:tc>
          <w:tcPr>
            <w:tcW w:w="1300" w:type="dxa"/>
            <w:vMerge w:val="restart"/>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b/>
                <w:bCs/>
                <w:color w:val="000000"/>
                <w:sz w:val="24"/>
                <w:szCs w:val="24"/>
              </w:rPr>
            </w:pPr>
          </w:p>
          <w:p w:rsidR="00D30181" w:rsidRPr="008E5C3E" w:rsidRDefault="00D30181" w:rsidP="00477369">
            <w:pPr>
              <w:rPr>
                <w:rFonts w:cs="Times New Roman"/>
                <w:sz w:val="24"/>
                <w:szCs w:val="24"/>
              </w:rPr>
            </w:pPr>
            <w:r w:rsidRPr="008E5C3E">
              <w:rPr>
                <w:rFonts w:cs="Times New Roman"/>
                <w:b/>
                <w:bCs/>
                <w:color w:val="000000"/>
                <w:sz w:val="24"/>
                <w:szCs w:val="24"/>
              </w:rPr>
              <w:t>申請要件</w:t>
            </w:r>
          </w:p>
        </w:tc>
        <w:tc>
          <w:tcPr>
            <w:tcW w:w="12592" w:type="dxa"/>
            <w:gridSpan w:val="3"/>
            <w:tcMar>
              <w:top w:w="80" w:type="dxa"/>
              <w:left w:w="100" w:type="dxa"/>
              <w:bottom w:w="80" w:type="dxa"/>
              <w:right w:w="100" w:type="dxa"/>
            </w:tcMar>
            <w:vAlign w:val="center"/>
          </w:tcPr>
          <w:p w:rsidR="00D30181" w:rsidRPr="008E5C3E" w:rsidRDefault="00D30181" w:rsidP="00477369">
            <w:pPr>
              <w:rPr>
                <w:rFonts w:cs="Times New Roman"/>
                <w:color w:val="000000"/>
                <w:sz w:val="24"/>
                <w:szCs w:val="24"/>
              </w:rPr>
            </w:pPr>
            <w:r w:rsidRPr="008E5C3E">
              <w:rPr>
                <w:rFonts w:cs="Times New Roman"/>
                <w:color w:val="000000"/>
                <w:sz w:val="24"/>
                <w:szCs w:val="24"/>
              </w:rPr>
              <w:t>透過圖形表示的標誌，使其能夠在市場上予以區分不同產品、服務或機構。可以是由單字或單字組合，數字，字母，符號，圖形甚至聽覺標記來組成。</w:t>
            </w:r>
          </w:p>
        </w:tc>
      </w:tr>
      <w:tr w:rsidR="00D30181" w:rsidRPr="008E5C3E" w:rsidTr="00477369">
        <w:tc>
          <w:tcPr>
            <w:tcW w:w="1300" w:type="dxa"/>
            <w:vMerge/>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p>
        </w:tc>
        <w:tc>
          <w:tcPr>
            <w:tcW w:w="1670" w:type="dxa"/>
            <w:tcMar>
              <w:top w:w="80" w:type="dxa"/>
              <w:left w:w="100" w:type="dxa"/>
              <w:bottom w:w="80" w:type="dxa"/>
              <w:right w:w="100" w:type="dxa"/>
            </w:tcMar>
            <w:vAlign w:val="center"/>
          </w:tcPr>
          <w:p w:rsidR="00D30181" w:rsidRPr="008E5C3E" w:rsidRDefault="00D30181" w:rsidP="00477369">
            <w:pPr>
              <w:spacing w:after="60"/>
              <w:rPr>
                <w:rFonts w:cs="Times New Roman"/>
                <w:color w:val="000000"/>
                <w:sz w:val="24"/>
                <w:szCs w:val="24"/>
              </w:rPr>
            </w:pPr>
            <w:r w:rsidRPr="008E5C3E">
              <w:rPr>
                <w:rFonts w:cs="Times New Roman" w:hint="eastAsia"/>
                <w:color w:val="000000"/>
                <w:sz w:val="24"/>
                <w:szCs w:val="24"/>
              </w:rPr>
              <w:t>不得註冊理由</w:t>
            </w:r>
          </w:p>
        </w:tc>
        <w:tc>
          <w:tcPr>
            <w:tcW w:w="10922" w:type="dxa"/>
            <w:gridSpan w:val="2"/>
            <w:vAlign w:val="center"/>
          </w:tcPr>
          <w:p w:rsidR="00D30181" w:rsidRPr="008E5C3E" w:rsidRDefault="00D30181" w:rsidP="00D30181">
            <w:pPr>
              <w:pStyle w:val="a3"/>
              <w:numPr>
                <w:ilvl w:val="0"/>
                <w:numId w:val="1"/>
              </w:numPr>
              <w:spacing w:after="60"/>
              <w:rPr>
                <w:rFonts w:cs="Times New Roman"/>
                <w:color w:val="000000"/>
                <w:sz w:val="24"/>
                <w:szCs w:val="24"/>
              </w:rPr>
            </w:pPr>
            <w:r w:rsidRPr="008E5C3E">
              <w:rPr>
                <w:rFonts w:cs="Times New Roman"/>
                <w:color w:val="000000"/>
                <w:sz w:val="24"/>
                <w:szCs w:val="24"/>
              </w:rPr>
              <w:t>商標標誌違反道德、公共秩序或良</w:t>
            </w:r>
            <w:r w:rsidRPr="008E5C3E">
              <w:rPr>
                <w:rFonts w:cs="Times New Roman" w:hint="eastAsia"/>
                <w:color w:val="000000"/>
                <w:sz w:val="24"/>
                <w:szCs w:val="24"/>
              </w:rPr>
              <w:t>善</w:t>
            </w:r>
            <w:r w:rsidRPr="008E5C3E">
              <w:rPr>
                <w:rFonts w:cs="Times New Roman"/>
                <w:color w:val="000000"/>
                <w:sz w:val="24"/>
                <w:szCs w:val="24"/>
              </w:rPr>
              <w:t>習俗</w:t>
            </w:r>
            <w:r w:rsidRPr="008E5C3E">
              <w:rPr>
                <w:rFonts w:cs="Times New Roman" w:hint="eastAsia"/>
                <w:color w:val="000000"/>
                <w:sz w:val="24"/>
                <w:szCs w:val="24"/>
              </w:rPr>
              <w:t>。</w:t>
            </w:r>
          </w:p>
          <w:p w:rsidR="00D30181" w:rsidRPr="008E5C3E" w:rsidRDefault="00D30181" w:rsidP="00D30181">
            <w:pPr>
              <w:pStyle w:val="a3"/>
              <w:numPr>
                <w:ilvl w:val="0"/>
                <w:numId w:val="1"/>
              </w:numPr>
              <w:spacing w:after="60"/>
              <w:rPr>
                <w:rFonts w:cs="Times New Roman"/>
                <w:color w:val="000000"/>
                <w:sz w:val="24"/>
                <w:szCs w:val="24"/>
              </w:rPr>
            </w:pPr>
            <w:r w:rsidRPr="008E5C3E">
              <w:rPr>
                <w:rFonts w:cs="Times New Roman"/>
                <w:color w:val="000000"/>
                <w:sz w:val="24"/>
                <w:szCs w:val="24"/>
              </w:rPr>
              <w:t>商標標誌與第三方所獲得的權利相衝突</w:t>
            </w:r>
            <w:r w:rsidRPr="008E5C3E">
              <w:rPr>
                <w:rFonts w:cs="Times New Roman" w:hint="eastAsia"/>
                <w:color w:val="000000"/>
                <w:sz w:val="24"/>
                <w:szCs w:val="24"/>
              </w:rPr>
              <w:t>。</w:t>
            </w:r>
          </w:p>
          <w:p w:rsidR="00D30181" w:rsidRPr="008E5C3E" w:rsidRDefault="00D30181" w:rsidP="00D30181">
            <w:pPr>
              <w:pStyle w:val="a3"/>
              <w:numPr>
                <w:ilvl w:val="0"/>
                <w:numId w:val="1"/>
              </w:numPr>
              <w:spacing w:after="60"/>
              <w:rPr>
                <w:rFonts w:cs="Times New Roman"/>
                <w:color w:val="000000"/>
                <w:sz w:val="24"/>
                <w:szCs w:val="24"/>
              </w:rPr>
            </w:pPr>
            <w:r w:rsidRPr="008E5C3E">
              <w:rPr>
                <w:rFonts w:cs="Times New Roman"/>
                <w:color w:val="000000"/>
                <w:sz w:val="24"/>
                <w:szCs w:val="24"/>
              </w:rPr>
              <w:t>商標標誌可能導致消費大眾對產品的來源地或屬性出現錯誤理解或混淆時（例如與智利知名的地理名稱相同或相似）</w:t>
            </w:r>
            <w:r w:rsidRPr="008E5C3E">
              <w:rPr>
                <w:rFonts w:cs="Times New Roman" w:hint="eastAsia"/>
                <w:color w:val="000000"/>
                <w:sz w:val="24"/>
                <w:szCs w:val="24"/>
              </w:rPr>
              <w:t>。</w:t>
            </w:r>
          </w:p>
        </w:tc>
      </w:tr>
      <w:tr w:rsidR="00D30181" w:rsidRPr="008E5C3E" w:rsidTr="00477369">
        <w:tc>
          <w:tcPr>
            <w:tcW w:w="1300" w:type="dxa"/>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優先權</w:t>
            </w:r>
          </w:p>
        </w:tc>
        <w:tc>
          <w:tcPr>
            <w:tcW w:w="12592" w:type="dxa"/>
            <w:gridSpan w:val="3"/>
            <w:tcMar>
              <w:top w:w="80" w:type="dxa"/>
              <w:left w:w="100" w:type="dxa"/>
              <w:bottom w:w="80" w:type="dxa"/>
              <w:right w:w="100" w:type="dxa"/>
            </w:tcMar>
            <w:vAlign w:val="center"/>
          </w:tcPr>
          <w:p w:rsidR="00D30181" w:rsidRPr="008E5C3E" w:rsidRDefault="00D30181" w:rsidP="00477369">
            <w:pPr>
              <w:rPr>
                <w:rFonts w:cs="Times New Roman"/>
                <w:sz w:val="24"/>
                <w:szCs w:val="24"/>
              </w:rPr>
            </w:pPr>
            <w:r>
              <w:rPr>
                <w:rFonts w:cs="Times New Roman"/>
                <w:color w:val="000000"/>
                <w:sz w:val="24"/>
                <w:szCs w:val="24"/>
              </w:rPr>
              <w:t>若該商標已在台灣</w:t>
            </w:r>
            <w:r w:rsidRPr="008E5C3E">
              <w:rPr>
                <w:rFonts w:cs="Times New Roman"/>
                <w:color w:val="000000"/>
                <w:sz w:val="24"/>
                <w:szCs w:val="24"/>
              </w:rPr>
              <w:t>或</w:t>
            </w:r>
            <w:r w:rsidRPr="008E5C3E">
              <w:rPr>
                <w:rFonts w:hint="eastAsia"/>
                <w:sz w:val="24"/>
                <w:szCs w:val="24"/>
              </w:rPr>
              <w:t>其他WTO會員國</w:t>
            </w:r>
            <w:r w:rsidRPr="008E5C3E">
              <w:rPr>
                <w:rFonts w:cs="Times New Roman"/>
                <w:color w:val="000000"/>
                <w:sz w:val="24"/>
                <w:szCs w:val="24"/>
              </w:rPr>
              <w:t>第一次提出申請，可在6個月內向</w:t>
            </w:r>
            <w:r w:rsidRPr="008E5C3E">
              <w:rPr>
                <w:sz w:val="24"/>
                <w:szCs w:val="24"/>
              </w:rPr>
              <w:t>智利國家工業財產局</w:t>
            </w:r>
            <w:r w:rsidRPr="008E5C3E">
              <w:rPr>
                <w:rFonts w:cs="Times New Roman"/>
                <w:color w:val="000000"/>
                <w:sz w:val="24"/>
                <w:szCs w:val="24"/>
              </w:rPr>
              <w:t>主張優先權。</w:t>
            </w:r>
          </w:p>
        </w:tc>
      </w:tr>
      <w:tr w:rsidR="00D30181" w:rsidRPr="008E5C3E" w:rsidTr="00477369">
        <w:tc>
          <w:tcPr>
            <w:tcW w:w="1300" w:type="dxa"/>
            <w:vMerge w:val="restart"/>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申請程序</w:t>
            </w:r>
          </w:p>
        </w:tc>
        <w:tc>
          <w:tcPr>
            <w:tcW w:w="1700" w:type="dxa"/>
            <w:gridSpan w:val="2"/>
            <w:shd w:val="clear" w:color="auto" w:fill="DCE6F1"/>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1.商標檢索</w:t>
            </w:r>
          </w:p>
        </w:tc>
        <w:tc>
          <w:tcPr>
            <w:tcW w:w="10892" w:type="dxa"/>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color w:val="000000"/>
                <w:sz w:val="24"/>
                <w:szCs w:val="24"/>
              </w:rPr>
              <w:t>於INAPI資料庫進行檢索，確認是否有相同或近似之商標已存在，以降低被駁回風險。</w:t>
            </w:r>
          </w:p>
        </w:tc>
      </w:tr>
      <w:tr w:rsidR="00D30181" w:rsidRPr="008E5C3E" w:rsidTr="00477369">
        <w:tc>
          <w:tcPr>
            <w:tcW w:w="1300" w:type="dxa"/>
            <w:vMerge/>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p>
        </w:tc>
        <w:tc>
          <w:tcPr>
            <w:tcW w:w="1700" w:type="dxa"/>
            <w:gridSpan w:val="2"/>
            <w:shd w:val="clear" w:color="auto" w:fill="DCE6F1"/>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2.提交申請</w:t>
            </w:r>
          </w:p>
        </w:tc>
        <w:tc>
          <w:tcPr>
            <w:tcW w:w="10892" w:type="dxa"/>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color w:val="000000"/>
                <w:sz w:val="24"/>
                <w:szCs w:val="24"/>
              </w:rPr>
              <w:t>準備商標圖樣、指定商品/服務類別（採用尼斯分類），並載明申請人名稱、申請人地址、申請人國籍、商標圖樣、指定商品及服務，由當地代理人向INAPI遞交。</w:t>
            </w:r>
          </w:p>
        </w:tc>
      </w:tr>
      <w:tr w:rsidR="00D30181" w:rsidRPr="008E5C3E" w:rsidTr="00477369">
        <w:tc>
          <w:tcPr>
            <w:tcW w:w="1300" w:type="dxa"/>
            <w:vMerge/>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p>
        </w:tc>
        <w:tc>
          <w:tcPr>
            <w:tcW w:w="1700" w:type="dxa"/>
            <w:gridSpan w:val="2"/>
            <w:shd w:val="clear" w:color="auto" w:fill="DCE6F1"/>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3.官方審查</w:t>
            </w:r>
          </w:p>
        </w:tc>
        <w:tc>
          <w:tcPr>
            <w:tcW w:w="10892" w:type="dxa"/>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color w:val="000000"/>
                <w:sz w:val="24"/>
                <w:szCs w:val="24"/>
              </w:rPr>
              <w:t>先進行形式審查（文件格式），如有欠缺，INAPI通知申請人於30個工作天內補正，逾期視為放棄；形式審查通過後即予公告。</w:t>
            </w:r>
          </w:p>
        </w:tc>
      </w:tr>
      <w:tr w:rsidR="00D30181" w:rsidRPr="008E5C3E" w:rsidTr="00477369">
        <w:tc>
          <w:tcPr>
            <w:tcW w:w="1300" w:type="dxa"/>
            <w:vMerge/>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p>
        </w:tc>
        <w:tc>
          <w:tcPr>
            <w:tcW w:w="1700" w:type="dxa"/>
            <w:gridSpan w:val="2"/>
            <w:shd w:val="clear" w:color="auto" w:fill="DCE6F1"/>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4.公告</w:t>
            </w:r>
          </w:p>
        </w:tc>
        <w:tc>
          <w:tcPr>
            <w:tcW w:w="10892" w:type="dxa"/>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color w:val="000000"/>
                <w:sz w:val="24"/>
                <w:szCs w:val="24"/>
              </w:rPr>
              <w:t>形式審查通過後於官方公報公告，公告期間為30個工作天，在此期間內利害關係人可提出異議；公告期滿後始進行實質審查（是否具備顯著性、是否與他案商標衝突等）。</w:t>
            </w:r>
          </w:p>
        </w:tc>
      </w:tr>
      <w:tr w:rsidR="00D30181" w:rsidRPr="008E5C3E" w:rsidTr="00477369">
        <w:tc>
          <w:tcPr>
            <w:tcW w:w="1300" w:type="dxa"/>
            <w:vMerge/>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p>
        </w:tc>
        <w:tc>
          <w:tcPr>
            <w:tcW w:w="1700" w:type="dxa"/>
            <w:gridSpan w:val="2"/>
            <w:shd w:val="clear" w:color="auto" w:fill="DCE6F1"/>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5.核准發證</w:t>
            </w:r>
          </w:p>
        </w:tc>
        <w:tc>
          <w:tcPr>
            <w:tcW w:w="10892" w:type="dxa"/>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color w:val="000000"/>
                <w:sz w:val="24"/>
                <w:szCs w:val="24"/>
              </w:rPr>
              <w:t>公告期滿無人異議，或異議不成立，核發商標註冊證。</w:t>
            </w:r>
          </w:p>
        </w:tc>
      </w:tr>
      <w:tr w:rsidR="00D30181" w:rsidRPr="008E5C3E" w:rsidTr="00477369">
        <w:tc>
          <w:tcPr>
            <w:tcW w:w="1300" w:type="dxa"/>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審查期間</w:t>
            </w:r>
          </w:p>
        </w:tc>
        <w:tc>
          <w:tcPr>
            <w:tcW w:w="12592" w:type="dxa"/>
            <w:gridSpan w:val="3"/>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color w:val="000000"/>
                <w:sz w:val="24"/>
                <w:szCs w:val="24"/>
              </w:rPr>
              <w:t>約</w:t>
            </w:r>
            <w:r w:rsidRPr="008E5C3E">
              <w:rPr>
                <w:rFonts w:cs="Times New Roman" w:hint="eastAsia"/>
                <w:color w:val="000000"/>
                <w:sz w:val="24"/>
                <w:szCs w:val="24"/>
              </w:rPr>
              <w:t>6</w:t>
            </w:r>
            <w:r w:rsidRPr="008E5C3E">
              <w:rPr>
                <w:rFonts w:cs="Times New Roman"/>
                <w:color w:val="000000"/>
                <w:sz w:val="24"/>
                <w:szCs w:val="24"/>
              </w:rPr>
              <w:t>至12個月（無異議、核駁）。</w:t>
            </w:r>
          </w:p>
        </w:tc>
      </w:tr>
      <w:tr w:rsidR="00D30181" w:rsidRPr="008E5C3E" w:rsidTr="00477369">
        <w:tc>
          <w:tcPr>
            <w:tcW w:w="1300" w:type="dxa"/>
            <w:vMerge w:val="restart"/>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商標權</w:t>
            </w:r>
          </w:p>
        </w:tc>
        <w:tc>
          <w:tcPr>
            <w:tcW w:w="1700" w:type="dxa"/>
            <w:gridSpan w:val="2"/>
            <w:shd w:val="clear" w:color="auto" w:fill="DCE6F1"/>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A.權利期間</w:t>
            </w:r>
          </w:p>
        </w:tc>
        <w:tc>
          <w:tcPr>
            <w:tcW w:w="10892" w:type="dxa"/>
            <w:tcMar>
              <w:top w:w="80" w:type="dxa"/>
              <w:left w:w="100" w:type="dxa"/>
              <w:bottom w:w="80" w:type="dxa"/>
              <w:right w:w="100" w:type="dxa"/>
            </w:tcMar>
            <w:vAlign w:val="center"/>
          </w:tcPr>
          <w:p w:rsidR="00D30181" w:rsidRPr="008E5C3E" w:rsidRDefault="00D30181" w:rsidP="00477369">
            <w:pPr>
              <w:rPr>
                <w:rFonts w:cs="Times New Roman"/>
                <w:sz w:val="24"/>
                <w:szCs w:val="24"/>
              </w:rPr>
            </w:pPr>
            <w:r>
              <w:rPr>
                <w:rFonts w:hint="eastAsia"/>
                <w:sz w:val="24"/>
                <w:szCs w:val="24"/>
              </w:rPr>
              <w:t>自註冊</w:t>
            </w:r>
            <w:r w:rsidRPr="00D777E1">
              <w:rPr>
                <w:rFonts w:hint="eastAsia"/>
                <w:sz w:val="24"/>
                <w:szCs w:val="24"/>
              </w:rPr>
              <w:t>日起</w:t>
            </w:r>
            <w:r w:rsidRPr="00D777E1">
              <w:rPr>
                <w:sz w:val="24"/>
                <w:szCs w:val="24"/>
              </w:rPr>
              <w:t>10年有效</w:t>
            </w:r>
            <w:r w:rsidRPr="008E5C3E">
              <w:rPr>
                <w:sz w:val="24"/>
                <w:szCs w:val="24"/>
              </w:rPr>
              <w:t>。</w:t>
            </w:r>
          </w:p>
        </w:tc>
      </w:tr>
      <w:tr w:rsidR="00D30181" w:rsidRPr="008E5C3E" w:rsidTr="00477369">
        <w:tc>
          <w:tcPr>
            <w:tcW w:w="1300" w:type="dxa"/>
            <w:vMerge/>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p>
        </w:tc>
        <w:tc>
          <w:tcPr>
            <w:tcW w:w="1700" w:type="dxa"/>
            <w:gridSpan w:val="2"/>
            <w:shd w:val="clear" w:color="auto" w:fill="DCE6F1"/>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B.延展</w:t>
            </w:r>
          </w:p>
        </w:tc>
        <w:tc>
          <w:tcPr>
            <w:tcW w:w="10892" w:type="dxa"/>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color w:val="000000"/>
                <w:sz w:val="24"/>
                <w:szCs w:val="24"/>
              </w:rPr>
              <w:t>屆滿後每次可延展10年，得無限次延展。</w:t>
            </w:r>
          </w:p>
        </w:tc>
      </w:tr>
      <w:tr w:rsidR="00D30181" w:rsidRPr="008E5C3E" w:rsidTr="00477369">
        <w:tc>
          <w:tcPr>
            <w:tcW w:w="1300" w:type="dxa"/>
            <w:vMerge/>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p>
        </w:tc>
        <w:tc>
          <w:tcPr>
            <w:tcW w:w="1700" w:type="dxa"/>
            <w:gridSpan w:val="2"/>
            <w:shd w:val="clear" w:color="auto" w:fill="DCE6F1"/>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C.延展寬限期</w:t>
            </w:r>
          </w:p>
        </w:tc>
        <w:tc>
          <w:tcPr>
            <w:tcW w:w="10892" w:type="dxa"/>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color w:val="000000"/>
                <w:sz w:val="24"/>
                <w:szCs w:val="24"/>
              </w:rPr>
              <w:t>屆滿後6個月內為延展寬限期。</w:t>
            </w:r>
          </w:p>
        </w:tc>
      </w:tr>
      <w:tr w:rsidR="00D30181" w:rsidRPr="008E5C3E" w:rsidTr="00477369">
        <w:tc>
          <w:tcPr>
            <w:tcW w:w="1300" w:type="dxa"/>
            <w:vMerge/>
            <w:shd w:val="clear" w:color="auto" w:fill="B8CCE4" w:themeFill="accent1" w:themeFillTint="66"/>
            <w:tcMar>
              <w:top w:w="80" w:type="dxa"/>
              <w:left w:w="100" w:type="dxa"/>
              <w:bottom w:w="80" w:type="dxa"/>
              <w:right w:w="100" w:type="dxa"/>
            </w:tcMar>
            <w:vAlign w:val="center"/>
          </w:tcPr>
          <w:p w:rsidR="00D30181" w:rsidRPr="008E5C3E" w:rsidRDefault="00D30181" w:rsidP="00477369">
            <w:pPr>
              <w:rPr>
                <w:rFonts w:cs="Times New Roman"/>
                <w:sz w:val="24"/>
                <w:szCs w:val="24"/>
              </w:rPr>
            </w:pPr>
          </w:p>
        </w:tc>
        <w:tc>
          <w:tcPr>
            <w:tcW w:w="1700" w:type="dxa"/>
            <w:gridSpan w:val="2"/>
            <w:shd w:val="clear" w:color="auto" w:fill="DCE6F1"/>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b/>
                <w:bCs/>
                <w:color w:val="000000"/>
                <w:sz w:val="24"/>
                <w:szCs w:val="24"/>
              </w:rPr>
              <w:t>D.使用證明</w:t>
            </w:r>
          </w:p>
        </w:tc>
        <w:tc>
          <w:tcPr>
            <w:tcW w:w="10892" w:type="dxa"/>
            <w:tcMar>
              <w:top w:w="80" w:type="dxa"/>
              <w:left w:w="100" w:type="dxa"/>
              <w:bottom w:w="80" w:type="dxa"/>
              <w:right w:w="100" w:type="dxa"/>
            </w:tcMar>
            <w:vAlign w:val="center"/>
          </w:tcPr>
          <w:p w:rsidR="00D30181" w:rsidRPr="008E5C3E" w:rsidRDefault="00D30181" w:rsidP="00477369">
            <w:pPr>
              <w:rPr>
                <w:rFonts w:cs="Times New Roman"/>
                <w:sz w:val="24"/>
                <w:szCs w:val="24"/>
              </w:rPr>
            </w:pPr>
            <w:r w:rsidRPr="008E5C3E">
              <w:rPr>
                <w:rFonts w:cs="Times New Roman"/>
                <w:color w:val="000000"/>
                <w:sz w:val="24"/>
                <w:szCs w:val="24"/>
              </w:rPr>
              <w:t>智利無強制申報使用證明之規定</w:t>
            </w:r>
            <w:r w:rsidRPr="008E5C3E">
              <w:rPr>
                <w:rFonts w:cs="Times New Roman" w:hint="eastAsia"/>
                <w:color w:val="000000"/>
                <w:sz w:val="24"/>
                <w:szCs w:val="24"/>
              </w:rPr>
              <w:t>。</w:t>
            </w:r>
          </w:p>
        </w:tc>
      </w:tr>
    </w:tbl>
    <w:p w:rsidR="00CA4D5F" w:rsidRPr="00D30181" w:rsidRDefault="00CA4D5F" w:rsidP="00D30181">
      <w:pPr>
        <w:widowControl/>
        <w:rPr>
          <w:b/>
          <w:bCs/>
          <w:sz w:val="24"/>
          <w:szCs w:val="24"/>
        </w:rPr>
      </w:pPr>
      <w:bookmarkStart w:id="0" w:name="_GoBack"/>
      <w:bookmarkEnd w:id="0"/>
    </w:p>
    <w:sectPr w:rsidR="00CA4D5F" w:rsidRPr="00D30181" w:rsidSect="00D30181">
      <w:pgSz w:w="16838" w:h="11906" w:orient="landscape"/>
      <w:pgMar w:top="1800" w:right="1440" w:bottom="180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0C651D"/>
    <w:multiLevelType w:val="hybridMultilevel"/>
    <w:tmpl w:val="69E4BE38"/>
    <w:lvl w:ilvl="0" w:tplc="EA9E7556">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0181"/>
    <w:rsid w:val="00CA4D5F"/>
    <w:rsid w:val="00D301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0181"/>
    <w:pPr>
      <w:widowControl w:val="0"/>
    </w:pPr>
    <w:rPr>
      <w:rFonts w:ascii="標楷體" w:eastAsia="標楷體" w:hAnsi="標楷體" w:cs="標楷體"/>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qFormat/>
    <w:rsid w:val="00D30181"/>
    <w:rPr>
      <w:rFonts w:ascii="標楷體" w:eastAsia="標楷體" w:hAnsi="標楷體" w:cs="標楷體"/>
      <w:kern w:val="0"/>
      <w:sz w:val="20"/>
      <w:szCs w:val="20"/>
    </w:rPr>
  </w:style>
  <w:style w:type="character" w:styleId="a4">
    <w:name w:val="Hyperlink"/>
    <w:uiPriority w:val="99"/>
    <w:unhideWhenUsed/>
    <w:rsid w:val="00D30181"/>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0181"/>
    <w:pPr>
      <w:widowControl w:val="0"/>
    </w:pPr>
    <w:rPr>
      <w:rFonts w:ascii="標楷體" w:eastAsia="標楷體" w:hAnsi="標楷體" w:cs="標楷體"/>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qFormat/>
    <w:rsid w:val="00D30181"/>
    <w:rPr>
      <w:rFonts w:ascii="標楷體" w:eastAsia="標楷體" w:hAnsi="標楷體" w:cs="標楷體"/>
      <w:kern w:val="0"/>
      <w:sz w:val="20"/>
      <w:szCs w:val="20"/>
    </w:rPr>
  </w:style>
  <w:style w:type="character" w:styleId="a4">
    <w:name w:val="Hyperlink"/>
    <w:uiPriority w:val="99"/>
    <w:unhideWhenUsed/>
    <w:rsid w:val="00D3018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api.c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118</Words>
  <Characters>673</Characters>
  <Application>Microsoft Office Word</Application>
  <DocSecurity>0</DocSecurity>
  <Lines>5</Lines>
  <Paragraphs>1</Paragraphs>
  <ScaleCrop>false</ScaleCrop>
  <Company/>
  <LinksUpToDate>false</LinksUpToDate>
  <CharactersWithSpaces>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1</cp:revision>
  <dcterms:created xsi:type="dcterms:W3CDTF">2026-08-05T01:44:00Z</dcterms:created>
  <dcterms:modified xsi:type="dcterms:W3CDTF">2026-08-05T01:44:00Z</dcterms:modified>
</cp:coreProperties>
</file>