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586" w:rsidRPr="008E5C3E" w:rsidRDefault="00E77586" w:rsidP="00E77586">
      <w:pPr>
        <w:pStyle w:val="1"/>
        <w:spacing w:before="240" w:after="200"/>
      </w:pPr>
      <w:r w:rsidRPr="008E5C3E">
        <w:t>沙烏地阿拉伯商標</w:t>
      </w:r>
    </w:p>
    <w:p w:rsidR="00E77586" w:rsidRPr="008E5C3E" w:rsidRDefault="00E77586" w:rsidP="00E77586">
      <w:pPr>
        <w:spacing w:before="60" w:after="16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5" w:history="1">
        <w:r w:rsidRPr="005103DE">
          <w:rPr>
            <w:rStyle w:val="a3"/>
            <w:sz w:val="24"/>
            <w:szCs w:val="24"/>
          </w:rPr>
          <w:t>沙烏地阿拉伯智慧財產局（Saudi Authority for Intellectual Property, SAIP）</w:t>
        </w:r>
      </w:hyperlink>
      <w:bookmarkStart w:id="0" w:name="_GoBack"/>
      <w:bookmarkEnd w:id="0"/>
    </w:p>
    <w:tbl>
      <w:tblPr>
        <w:tblW w:w="14034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11034"/>
      </w:tblGrid>
      <w:tr w:rsidR="00E77586" w:rsidRPr="008E5C3E" w:rsidTr="00477369">
        <w:tc>
          <w:tcPr>
            <w:tcW w:w="14034" w:type="dxa"/>
            <w:gridSpan w:val="3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商標</w:t>
            </w:r>
          </w:p>
        </w:tc>
      </w:tr>
      <w:tr w:rsidR="00E77586" w:rsidRPr="008E5C3E" w:rsidTr="00477369">
        <w:tc>
          <w:tcPr>
            <w:tcW w:w="1300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申請要件</w:t>
            </w:r>
          </w:p>
        </w:tc>
        <w:tc>
          <w:tcPr>
            <w:tcW w:w="12734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讓消費者能夠識別個人或公司的產品或服務，以使將其與競爭對手的產品或服務區分開來。</w:t>
            </w:r>
          </w:p>
        </w:tc>
      </w:tr>
      <w:tr w:rsidR="00E77586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34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spacing w:after="6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- 缺乏顯著性之通用名稱、說明性文字或標誌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  <w:p w:rsidR="00E77586" w:rsidRPr="008E5C3E" w:rsidRDefault="00E77586" w:rsidP="00477369">
            <w:pPr>
              <w:spacing w:after="6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- 與先前註冊或申請中之商標相同或近似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  <w:p w:rsidR="00E77586" w:rsidRPr="008E5C3E" w:rsidRDefault="00E77586" w:rsidP="00477369">
            <w:pPr>
              <w:spacing w:after="6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- 違反公共道德、伊斯蘭教義，或含有宗教、皇室、國家等標誌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- 指定於禁止註冊之商品，如酒類（第32、33類）、豬肉製品（第29類）等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E77586" w:rsidRPr="008E5C3E" w:rsidTr="00477369">
        <w:tc>
          <w:tcPr>
            <w:tcW w:w="13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優先權</w:t>
            </w:r>
          </w:p>
        </w:tc>
        <w:tc>
          <w:tcPr>
            <w:tcW w:w="12734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若該商標已在</w:t>
            </w:r>
            <w:r w:rsidRPr="008E5C3E">
              <w:rPr>
                <w:rFonts w:hint="eastAsia"/>
                <w:sz w:val="24"/>
                <w:szCs w:val="24"/>
              </w:rPr>
              <w:t>台灣</w:t>
            </w:r>
            <w:r w:rsidRPr="008E5C3E">
              <w:rPr>
                <w:sz w:val="24"/>
                <w:szCs w:val="24"/>
              </w:rPr>
              <w:t>或</w:t>
            </w:r>
            <w:r w:rsidRPr="008E5C3E">
              <w:rPr>
                <w:rFonts w:hint="eastAsia"/>
                <w:sz w:val="24"/>
                <w:szCs w:val="24"/>
              </w:rPr>
              <w:t>其他WTO會員國</w:t>
            </w:r>
            <w:r w:rsidRPr="008E5C3E">
              <w:rPr>
                <w:sz w:val="24"/>
                <w:szCs w:val="24"/>
              </w:rPr>
              <w:t>第一次提出申請，可在6個月內向SAIP主張優先權。</w:t>
            </w:r>
          </w:p>
        </w:tc>
      </w:tr>
      <w:tr w:rsidR="00E77586" w:rsidRPr="008E5C3E" w:rsidTr="00477369">
        <w:tc>
          <w:tcPr>
            <w:tcW w:w="1300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申請程序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1.商標檢索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透過SAIP線上系統於資料庫進行檢索，確認是否有相同或近似之商標已存在。</w:t>
            </w:r>
          </w:p>
        </w:tc>
      </w:tr>
      <w:tr w:rsidR="00E77586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2.提交申請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透過SAIP線上平台準備商標圖樣、指定商品/服務類別（採尼斯分類），並載明申請人資料，由當地代理人遞交申請。</w:t>
            </w:r>
          </w:p>
        </w:tc>
      </w:tr>
      <w:tr w:rsidR="00E77586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3.官方審查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包含形式審查與實質審查（是否具顯著性、是否與他案商標衝突、是否屬禁止註冊商品等）。</w:t>
            </w:r>
          </w:p>
        </w:tc>
      </w:tr>
      <w:tr w:rsidR="00E77586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4.公告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審查通過後於官方公報公告，公告期間為60天，任何人得於此期間提出異議。</w:t>
            </w:r>
          </w:p>
        </w:tc>
      </w:tr>
      <w:tr w:rsidR="00E77586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5.核准發證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公告期滿無人異議，或異議不成立，繳納規費</w:t>
            </w:r>
            <w:r w:rsidRPr="008E5C3E">
              <w:rPr>
                <w:rFonts w:hint="eastAsia"/>
                <w:sz w:val="24"/>
                <w:szCs w:val="24"/>
              </w:rPr>
              <w:t>後</w:t>
            </w:r>
            <w:r w:rsidRPr="008E5C3E">
              <w:rPr>
                <w:sz w:val="24"/>
                <w:szCs w:val="24"/>
              </w:rPr>
              <w:t>核發商標註冊證。</w:t>
            </w:r>
          </w:p>
        </w:tc>
      </w:tr>
      <w:tr w:rsidR="00E77586" w:rsidRPr="008E5C3E" w:rsidTr="00477369">
        <w:tc>
          <w:tcPr>
            <w:tcW w:w="13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lastRenderedPageBreak/>
              <w:t>審查期間</w:t>
            </w:r>
          </w:p>
        </w:tc>
        <w:tc>
          <w:tcPr>
            <w:tcW w:w="12734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約</w:t>
            </w:r>
            <w:r w:rsidRPr="008E5C3E">
              <w:rPr>
                <w:sz w:val="24"/>
                <w:szCs w:val="24"/>
              </w:rPr>
              <w:t>6</w:t>
            </w:r>
            <w:r w:rsidRPr="008E5C3E">
              <w:rPr>
                <w:rFonts w:hint="eastAsia"/>
                <w:sz w:val="24"/>
                <w:szCs w:val="24"/>
              </w:rPr>
              <w:t>-12</w:t>
            </w:r>
            <w:r w:rsidRPr="008E5C3E">
              <w:rPr>
                <w:sz w:val="24"/>
                <w:szCs w:val="24"/>
              </w:rPr>
              <w:t>個月（若無異議、核駁）。</w:t>
            </w:r>
          </w:p>
        </w:tc>
      </w:tr>
      <w:tr w:rsidR="00E77586" w:rsidRPr="008E5C3E" w:rsidTr="00477369">
        <w:tc>
          <w:tcPr>
            <w:tcW w:w="1300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000000"/>
                <w:sz w:val="24"/>
                <w:szCs w:val="24"/>
              </w:rPr>
              <w:t>商標權</w:t>
            </w: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A.權利期間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依伊斯蘭</w:t>
            </w:r>
            <w:r w:rsidRPr="008E5C3E">
              <w:rPr>
                <w:sz w:val="24"/>
                <w:szCs w:val="24"/>
              </w:rPr>
              <w:t>曆計算為10年</w:t>
            </w:r>
            <w:r>
              <w:rPr>
                <w:sz w:val="24"/>
                <w:szCs w:val="24"/>
              </w:rPr>
              <w:t>，自申請日起有效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E77586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B.延展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屆滿後每次可延展10年，得無限次延展；應於保護期間最後一年內提出申請。</w:t>
            </w:r>
          </w:p>
        </w:tc>
      </w:tr>
      <w:tr w:rsidR="00E77586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C.延展寬限期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屆滿後6個月內為延展寬限期，逾期加收罰款。</w:t>
            </w:r>
          </w:p>
        </w:tc>
      </w:tr>
      <w:tr w:rsidR="00E77586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D.使用證明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77586" w:rsidRPr="008E5C3E" w:rsidRDefault="00E77586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延展不須提供使用證據。</w:t>
            </w:r>
          </w:p>
        </w:tc>
      </w:tr>
    </w:tbl>
    <w:p w:rsidR="00CA4D5F" w:rsidRPr="00E77586" w:rsidRDefault="00CA4D5F"/>
    <w:sectPr w:rsidR="00CA4D5F" w:rsidRPr="00E77586" w:rsidSect="00E77586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586"/>
    <w:rsid w:val="00930480"/>
    <w:rsid w:val="00CA4D5F"/>
    <w:rsid w:val="00E7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758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E7758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E77586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E77586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7586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E77586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E77586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E7758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aip.gov.sa/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2</cp:revision>
  <dcterms:created xsi:type="dcterms:W3CDTF">2026-08-05T01:46:00Z</dcterms:created>
  <dcterms:modified xsi:type="dcterms:W3CDTF">2026-08-05T02:07:00Z</dcterms:modified>
</cp:coreProperties>
</file>