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0DC" w:rsidRPr="0093067B" w:rsidRDefault="007000DC" w:rsidP="007000DC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/>
        </w:rPr>
        <w:t>泰國商標</w:t>
      </w:r>
    </w:p>
    <w:p w:rsidR="007000DC" w:rsidRPr="00E72BC5" w:rsidRDefault="007000DC" w:rsidP="007000DC">
      <w:pPr>
        <w:pStyle w:val="1"/>
        <w:tabs>
          <w:tab w:val="left" w:pos="3744"/>
        </w:tabs>
        <w:spacing w:before="240" w:after="200"/>
        <w:rPr>
          <w:rStyle w:val="a4"/>
          <w:rFonts w:ascii="Times New Roman" w:hAnsi="Times New Roman" w:cs="Times New Roman"/>
          <w:sz w:val="24"/>
          <w:szCs w:val="24"/>
        </w:rPr>
      </w:pPr>
      <w:r w:rsidRPr="00E72BC5">
        <w:rPr>
          <w:rFonts w:ascii="Times New Roman" w:hAnsi="Times New Roman" w:cs="Times New Roman"/>
          <w:sz w:val="24"/>
          <w:szCs w:val="24"/>
        </w:rPr>
        <w:t>主管機關：</w:t>
      </w:r>
      <w:bookmarkStart w:id="0" w:name="_GoBack"/>
      <w:r w:rsidRPr="00E72BC5">
        <w:rPr>
          <w:rFonts w:ascii="Times New Roman" w:hAnsi="Times New Roman" w:cs="Times New Roman"/>
          <w:sz w:val="24"/>
          <w:szCs w:val="24"/>
        </w:rPr>
        <w:fldChar w:fldCharType="begin"/>
      </w:r>
      <w:r w:rsidRPr="00E72BC5">
        <w:rPr>
          <w:rFonts w:ascii="Times New Roman" w:hAnsi="Times New Roman" w:cs="Times New Roman"/>
          <w:sz w:val="24"/>
          <w:szCs w:val="24"/>
        </w:rPr>
        <w:instrText xml:space="preserve"> HYPERLINK "https://www.ipthailand.go.th/en/home-eng.html" </w:instrText>
      </w:r>
      <w:r w:rsidRPr="00E72BC5">
        <w:rPr>
          <w:rFonts w:ascii="Times New Roman" w:hAnsi="Times New Roman" w:cs="Times New Roman"/>
          <w:sz w:val="24"/>
          <w:szCs w:val="24"/>
        </w:rPr>
        <w:fldChar w:fldCharType="separate"/>
      </w:r>
      <w:r w:rsidRPr="00E72BC5">
        <w:rPr>
          <w:rStyle w:val="a4"/>
          <w:rFonts w:ascii="Times New Roman" w:hAnsi="Times New Roman" w:cs="Times New Roman"/>
          <w:sz w:val="24"/>
          <w:szCs w:val="24"/>
        </w:rPr>
        <w:t>泰國智慧財產局</w:t>
      </w:r>
      <w:proofErr w:type="gramStart"/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（</w:t>
      </w:r>
      <w:proofErr w:type="gramEnd"/>
      <w:r w:rsidRPr="00E72BC5">
        <w:rPr>
          <w:rStyle w:val="a4"/>
          <w:rFonts w:ascii="Times New Roman" w:hAnsi="Times New Roman" w:cs="Times New Roman"/>
          <w:sz w:val="24"/>
          <w:szCs w:val="24"/>
        </w:rPr>
        <w:t>Department of Intellectual Property</w:t>
      </w:r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，</w:t>
      </w:r>
      <w:r w:rsidRPr="00E72BC5">
        <w:rPr>
          <w:rStyle w:val="a4"/>
          <w:rFonts w:ascii="Times New Roman" w:hAnsi="Times New Roman" w:cs="Times New Roman"/>
          <w:sz w:val="24"/>
          <w:szCs w:val="24"/>
        </w:rPr>
        <w:t>DIP )</w:t>
      </w:r>
    </w:p>
    <w:p w:rsidR="007000DC" w:rsidRPr="00C929A8" w:rsidRDefault="007000DC" w:rsidP="007000DC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  <w:sz w:val="22"/>
        </w:rPr>
      </w:pPr>
      <w:r w:rsidRPr="00E72BC5">
        <w:rPr>
          <w:rFonts w:ascii="Times New Roman" w:hAnsi="Times New Roman" w:cs="Times New Roman"/>
          <w:sz w:val="24"/>
          <w:szCs w:val="24"/>
        </w:rPr>
        <w:fldChar w:fldCharType="end"/>
      </w:r>
      <w:bookmarkEnd w:id="0"/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7000DC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7000DC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7000DC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不能直接描述產品的原料、功用、品質。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不能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僅由</w:t>
            </w:r>
            <w:r w:rsidRPr="007C504D">
              <w:rPr>
                <w:rFonts w:ascii="Times New Roman" w:hAnsi="Times New Roman" w:cs="Times New Roman" w:hint="eastAsia"/>
                <w:sz w:val="24"/>
                <w:szCs w:val="24"/>
              </w:rPr>
              <w:t>商標不得僅由地理名稱、普遍姓氏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7000DC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商標不能與他人已經在泰國註冊或申請中的商標相同或高度近似，以避免消費者產生混淆。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7000D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不得使用國旗、國徽、皇家標誌、宗教象徵、公認的國際組織標誌，或有違泰國公共秩序與善良風俗的文字圖樣。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不得使用含有不雅、粗俗、或可能引發宗教與社會衝突的文字或圖樣。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不得註冊已被依法保護的地理標示。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若該商標已在台灣或其他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WTO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會員國第一次提出申請，可在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個月內向泰國主張優先權。</w:t>
            </w:r>
          </w:p>
        </w:tc>
      </w:tr>
      <w:tr w:rsidR="007000DC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7000DC" w:rsidRPr="0093067B" w:rsidRDefault="007000DC" w:rsidP="007000DC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DIP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7000DC" w:rsidRPr="0093067B" w:rsidRDefault="007000DC" w:rsidP="007000DC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DIP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  <w:p w:rsidR="007000DC" w:rsidRPr="007C504D" w:rsidRDefault="007000DC" w:rsidP="007000DC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泰國不接受寬泛的行業大類描述，必須精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寫出商品項目，且</w:t>
            </w:r>
            <w:r w:rsidRPr="0093067B">
              <w:rPr>
                <w:rFonts w:ascii="Times New Roman" w:hAnsi="Times New Roman" w:cs="Times New Roman"/>
                <w:bCs/>
                <w:sz w:val="24"/>
                <w:szCs w:val="24"/>
              </w:rPr>
              <w:t>商品項目超過</w:t>
            </w:r>
            <w:r w:rsidRPr="009306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10 </w:t>
            </w:r>
            <w:proofErr w:type="gramStart"/>
            <w:r w:rsidRPr="0093067B">
              <w:rPr>
                <w:rFonts w:ascii="Times New Roman" w:hAnsi="Times New Roman" w:cs="Times New Roman"/>
                <w:bCs/>
                <w:sz w:val="24"/>
                <w:szCs w:val="24"/>
              </w:rPr>
              <w:t>個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者須項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lastRenderedPageBreak/>
              <w:t>目加收規費</w:t>
            </w:r>
            <w:r w:rsidRPr="0093067B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7000DC" w:rsidRPr="0093067B" w:rsidRDefault="007000DC" w:rsidP="007000DC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7000DC" w:rsidRPr="0093067B" w:rsidRDefault="007000DC" w:rsidP="007000DC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審核通過會進入官方公告期，公告期為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60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天，在此期間內任何人皆可提出異議。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7000DC" w:rsidRPr="0093067B" w:rsidRDefault="007000DC" w:rsidP="007000DC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7000DC" w:rsidRPr="0093067B" w:rsidRDefault="007000DC" w:rsidP="007000DC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18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7000DC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7000DC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提出，得無限次延展。</w:t>
            </w:r>
          </w:p>
        </w:tc>
      </w:tr>
      <w:tr w:rsidR="007000DC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個月內為延展寬限期，會增加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的官方規費。</w:t>
            </w:r>
          </w:p>
        </w:tc>
      </w:tr>
      <w:tr w:rsidR="007000DC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  <w:tr w:rsidR="007000DC" w:rsidRPr="0093067B" w:rsidTr="00411FA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sz w:val="24"/>
                <w:szCs w:val="24"/>
              </w:rPr>
              <w:t>商標爭議救濟</w:t>
            </w:r>
          </w:p>
          <w:p w:rsidR="007000DC" w:rsidRPr="0093067B" w:rsidRDefault="007000DC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7000DC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任何第三方對已經通過審查並公告的商標提出反對的法定程序，申請期限為商標公告日起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天內。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異議人可以基於以下幾項法定理由向泰國智慧財產局提出異議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7000DC" w:rsidRPr="0093067B" w:rsidRDefault="007000DC" w:rsidP="007000DC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在先權利衝突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異議人證明自己才是該商標的真正擁有者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或者該商標與異議人已註冊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申請中的商標構成相同或近似，易造成大眾混淆。</w:t>
            </w:r>
          </w:p>
          <w:p w:rsidR="007000DC" w:rsidRPr="0093067B" w:rsidRDefault="007000DC" w:rsidP="007000DC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惡意搶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證明申請人與異議人之間存在代理、經銷或商業合作關係，明知該品牌屬於異議人卻惡意在泰國搶先註冊。</w:t>
            </w:r>
          </w:p>
          <w:p w:rsidR="007000DC" w:rsidRPr="0093067B" w:rsidRDefault="007000DC" w:rsidP="007000DC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缺乏識別性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主張該商標只是通用名稱、直接描述性詞彙。</w:t>
            </w:r>
          </w:p>
          <w:p w:rsidR="007000DC" w:rsidRPr="0093067B" w:rsidRDefault="007000DC" w:rsidP="007000DC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違反禁止註冊條款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主張商標含有皇家標誌、國旗、地理標示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(GI)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，或違背泰國公共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秩序與善良風俗。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評定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7000D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在泰國商標制度中是透過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向泰國商標委員會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(Board of Trademarks)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申請請求撤銷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(Cancellation)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或宣告註冊無效。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利害關係人可以在商標註冊日起的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年內，</w:t>
            </w:r>
            <w:r w:rsidRPr="007C504D">
              <w:rPr>
                <w:rFonts w:ascii="Times New Roman" w:hAnsi="Times New Roman" w:cs="Times New Roman" w:hint="eastAsia"/>
                <w:sz w:val="24"/>
                <w:szCs w:val="24"/>
              </w:rPr>
              <w:t>以與其在先權利衝突等理由，請求撤銷或宣告該商標註冊無效。</w:t>
            </w:r>
          </w:p>
          <w:p w:rsidR="007000DC" w:rsidRPr="0093067B" w:rsidRDefault="007000DC" w:rsidP="00411FA1">
            <w:pPr>
              <w:pStyle w:val="a3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FF4D47">
              <w:rPr>
                <w:rFonts w:ascii="Times New Roman" w:hAnsi="Times New Roman" w:cs="Times New Roman" w:hint="eastAsia"/>
                <w:sz w:val="24"/>
                <w:szCs w:val="24"/>
              </w:rPr>
              <w:t>若能證明申請具有惡意或申請人非真正權利人等情形，依案件性質可能不受</w:t>
            </w:r>
            <w:r w:rsidRPr="00FF4D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F4D47">
              <w:rPr>
                <w:rFonts w:ascii="Times New Roman" w:hAnsi="Times New Roman" w:cs="Times New Roman"/>
                <w:sz w:val="24"/>
                <w:szCs w:val="24"/>
              </w:rPr>
              <w:t>年期間限制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泰國商標爭議評定無效事由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商標不具識別性：商標註冊時不符合識別性要件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屬不得註冊之商標；商標含有法律禁止註冊的內容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與他人先權利衝突：商標與他人在相同或類似商品／服務上的在先註冊商標或申請商標相同或近似，可能造成消費者混淆誤認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惡意申請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(Bad faith)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：申請人明知他人已使用或擁有一定知名度的商標，仍意圖搶先註冊，以取得不正當利益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向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中央智慧財產與國際貿易法院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(IP&amp;IT Court)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提出申請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申請人欠缺合法權利或資格：申請人並非真正權利人，或註冊目的違反商標法基本原則。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著名商標之保護衝突：與他人著名商標相同或近似，可能導致混淆、減損著名商標識別性或聲譽。</w:t>
            </w:r>
          </w:p>
          <w:p w:rsidR="007000DC" w:rsidRPr="0093067B" w:rsidRDefault="007000DC" w:rsidP="007000DC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其他違反商標法註冊要件之情形：註冊程序或申請內容不符合商標法要求。</w:t>
            </w:r>
          </w:p>
        </w:tc>
      </w:tr>
      <w:tr w:rsidR="007000DC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廢止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00DC" w:rsidRPr="0093067B" w:rsidRDefault="007000DC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註冊商標若連續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無正當理由未使用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，任何人皆可針對未使用商標向泰國智慧財產局提出廢止申請。</w:t>
            </w:r>
          </w:p>
        </w:tc>
      </w:tr>
    </w:tbl>
    <w:p w:rsidR="007000DC" w:rsidRPr="0093067B" w:rsidRDefault="007000DC" w:rsidP="007000DC">
      <w:pPr>
        <w:rPr>
          <w:rFonts w:ascii="Times New Roman" w:hAnsi="Times New Roman" w:cs="Times New Roman"/>
        </w:rPr>
      </w:pPr>
    </w:p>
    <w:p w:rsidR="00BC23C1" w:rsidRPr="007000DC" w:rsidRDefault="00BC23C1"/>
    <w:sectPr w:rsidR="00BC23C1" w:rsidRPr="007000DC" w:rsidSect="007000DC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931CA"/>
    <w:multiLevelType w:val="hybridMultilevel"/>
    <w:tmpl w:val="7E420B4E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A56466C"/>
    <w:multiLevelType w:val="hybridMultilevel"/>
    <w:tmpl w:val="DC64947E"/>
    <w:lvl w:ilvl="0" w:tplc="92B48354">
      <w:numFmt w:val="bullet"/>
      <w:lvlText w:val="•"/>
      <w:lvlJc w:val="left"/>
      <w:pPr>
        <w:ind w:left="61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80"/>
      </w:pPr>
      <w:rPr>
        <w:rFonts w:ascii="Wingdings" w:hAnsi="Wingdings" w:hint="default"/>
      </w:rPr>
    </w:lvl>
  </w:abstractNum>
  <w:abstractNum w:abstractNumId="3">
    <w:nsid w:val="58A31E70"/>
    <w:multiLevelType w:val="hybridMultilevel"/>
    <w:tmpl w:val="B0E4C44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10D6937"/>
    <w:multiLevelType w:val="hybridMultilevel"/>
    <w:tmpl w:val="04D604C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67876A21"/>
    <w:multiLevelType w:val="hybridMultilevel"/>
    <w:tmpl w:val="7506EFD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C"/>
    <w:rsid w:val="007000DC"/>
    <w:rsid w:val="00A139AA"/>
    <w:rsid w:val="00B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0DC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000DC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000DC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7000DC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7000DC"/>
    <w:rPr>
      <w:color w:val="0563C1"/>
      <w:u w:val="single"/>
    </w:rPr>
  </w:style>
  <w:style w:type="character" w:styleId="a5">
    <w:name w:val="Strong"/>
    <w:basedOn w:val="a0"/>
    <w:uiPriority w:val="22"/>
    <w:qFormat/>
    <w:rsid w:val="007000D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0DC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7000DC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7000DC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7000DC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7000DC"/>
    <w:rPr>
      <w:color w:val="0563C1"/>
      <w:u w:val="single"/>
    </w:rPr>
  </w:style>
  <w:style w:type="character" w:styleId="a5">
    <w:name w:val="Strong"/>
    <w:basedOn w:val="a0"/>
    <w:uiPriority w:val="22"/>
    <w:qFormat/>
    <w:rsid w:val="007000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2026-08-05T01:47:00Z</dcterms:created>
  <dcterms:modified xsi:type="dcterms:W3CDTF">2026-08-05T02:09:00Z</dcterms:modified>
</cp:coreProperties>
</file>