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5F16" w:rsidRPr="001079DB" w:rsidRDefault="00AD5F16" w:rsidP="00AD5F16">
      <w:pPr>
        <w:pStyle w:val="1"/>
        <w:spacing w:before="240" w:after="200"/>
      </w:pPr>
      <w:r>
        <w:t>菲律賓商標</w:t>
      </w:r>
    </w:p>
    <w:p w:rsidR="00AD5F16" w:rsidRPr="00AD5F16" w:rsidRDefault="00AD5F16" w:rsidP="00AD5F16">
      <w:pPr>
        <w:spacing w:before="60" w:after="160"/>
        <w:rPr>
          <w:sz w:val="18"/>
          <w:szCs w:val="18"/>
        </w:rPr>
      </w:pPr>
      <w:r w:rsidRPr="003A549B">
        <w:rPr>
          <w:b/>
          <w:bCs/>
          <w:sz w:val="18"/>
          <w:szCs w:val="18"/>
        </w:rPr>
        <w:t>主管機關：</w:t>
      </w:r>
      <w:hyperlink r:id="rId6" w:history="1">
        <w:r w:rsidRPr="003A549B">
          <w:rPr>
            <w:rStyle w:val="a4"/>
            <w:sz w:val="18"/>
            <w:szCs w:val="18"/>
          </w:rPr>
          <w:t>菲律賓智慧財產局（Intellectual Pro</w:t>
        </w:r>
        <w:r w:rsidR="00A45C39">
          <w:rPr>
            <w:rStyle w:val="a4"/>
            <w:sz w:val="18"/>
            <w:szCs w:val="18"/>
          </w:rPr>
          <w:t>perty Office of the Philippines</w:t>
        </w:r>
        <w:bookmarkStart w:id="0" w:name="_GoBack"/>
        <w:bookmarkEnd w:id="0"/>
        <w:r w:rsidRPr="003A549B">
          <w:rPr>
            <w:rStyle w:val="a4"/>
            <w:sz w:val="18"/>
            <w:szCs w:val="18"/>
          </w:rPr>
          <w:t>，POPHL）</w:t>
        </w:r>
      </w:hyperlink>
    </w:p>
    <w:tbl>
      <w:tblPr>
        <w:tblW w:w="14034" w:type="dxa"/>
        <w:tblInd w:w="1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276"/>
        <w:gridCol w:w="2835"/>
        <w:gridCol w:w="9923"/>
      </w:tblGrid>
      <w:tr w:rsidR="00AD5F16" w:rsidRPr="000A765A" w:rsidTr="00061451">
        <w:trPr>
          <w:trHeight w:val="247"/>
        </w:trPr>
        <w:tc>
          <w:tcPr>
            <w:tcW w:w="1276" w:type="dxa"/>
            <w:shd w:val="clear" w:color="auto" w:fill="1F4E79"/>
            <w:tcMar>
              <w:top w:w="100" w:type="dxa"/>
              <w:left w:w="120" w:type="dxa"/>
              <w:bottom w:w="100" w:type="dxa"/>
              <w:right w:w="120" w:type="dxa"/>
            </w:tcMar>
          </w:tcPr>
          <w:p w:rsidR="00AD5F16" w:rsidRPr="000A765A" w:rsidRDefault="00AD5F16" w:rsidP="00061451">
            <w:pPr>
              <w:rPr>
                <w:color w:val="FFFFFF" w:themeColor="background1"/>
                <w:sz w:val="24"/>
                <w:szCs w:val="24"/>
              </w:rPr>
            </w:pPr>
            <w:r>
              <w:rPr>
                <w:b/>
                <w:bCs/>
                <w:color w:val="FFFFFF" w:themeColor="background1"/>
                <w:sz w:val="24"/>
                <w:szCs w:val="24"/>
              </w:rPr>
              <w:t>商標</w:t>
            </w:r>
          </w:p>
        </w:tc>
        <w:tc>
          <w:tcPr>
            <w:tcW w:w="2835" w:type="dxa"/>
            <w:shd w:val="clear" w:color="auto" w:fill="1F4E79"/>
          </w:tcPr>
          <w:p w:rsidR="00AD5F16" w:rsidRPr="000A765A" w:rsidRDefault="00AD5F16" w:rsidP="00061451">
            <w:pPr>
              <w:jc w:val="center"/>
              <w:rPr>
                <w:b/>
                <w:bCs/>
                <w:color w:val="FFFFFF" w:themeColor="background1"/>
                <w:sz w:val="24"/>
                <w:szCs w:val="24"/>
              </w:rPr>
            </w:pPr>
          </w:p>
        </w:tc>
        <w:tc>
          <w:tcPr>
            <w:tcW w:w="9923" w:type="dxa"/>
            <w:shd w:val="clear" w:color="auto" w:fill="1F4E79"/>
            <w:tcMar>
              <w:top w:w="100" w:type="dxa"/>
              <w:left w:w="120" w:type="dxa"/>
              <w:bottom w:w="100" w:type="dxa"/>
              <w:right w:w="120" w:type="dxa"/>
            </w:tcMar>
          </w:tcPr>
          <w:p w:rsidR="00AD5F16" w:rsidRPr="000A765A" w:rsidRDefault="00AD5F16" w:rsidP="00061451">
            <w:pPr>
              <w:jc w:val="center"/>
              <w:rPr>
                <w:color w:val="FFFFFF" w:themeColor="background1"/>
                <w:sz w:val="24"/>
                <w:szCs w:val="24"/>
              </w:rPr>
            </w:pPr>
          </w:p>
        </w:tc>
      </w:tr>
      <w:tr w:rsidR="00AD5F16" w:rsidRPr="000A765A" w:rsidTr="00061451">
        <w:trPr>
          <w:trHeight w:val="1656"/>
        </w:trPr>
        <w:tc>
          <w:tcPr>
            <w:tcW w:w="1276" w:type="dxa"/>
            <w:shd w:val="clear" w:color="auto" w:fill="D6E4F0"/>
            <w:tcMar>
              <w:top w:w="80" w:type="dxa"/>
              <w:left w:w="120" w:type="dxa"/>
              <w:bottom w:w="80" w:type="dxa"/>
              <w:right w:w="120" w:type="dxa"/>
            </w:tcMar>
            <w:vAlign w:val="center"/>
          </w:tcPr>
          <w:p w:rsidR="00AD5F16" w:rsidRPr="000A765A" w:rsidRDefault="00AD5F16" w:rsidP="00061451">
            <w:pPr>
              <w:jc w:val="center"/>
              <w:rPr>
                <w:sz w:val="24"/>
                <w:szCs w:val="24"/>
              </w:rPr>
            </w:pPr>
            <w:r w:rsidRPr="000A765A">
              <w:rPr>
                <w:b/>
                <w:bCs/>
                <w:sz w:val="24"/>
                <w:szCs w:val="24"/>
              </w:rPr>
              <w:t>申請要件</w:t>
            </w:r>
          </w:p>
        </w:tc>
        <w:tc>
          <w:tcPr>
            <w:tcW w:w="12758" w:type="dxa"/>
            <w:gridSpan w:val="2"/>
            <w:shd w:val="clear" w:color="auto" w:fill="FFFFFF"/>
          </w:tcPr>
          <w:p w:rsidR="00AD5F16" w:rsidRDefault="00AD5F16" w:rsidP="00AD5F16">
            <w:pPr>
              <w:pStyle w:val="a3"/>
              <w:numPr>
                <w:ilvl w:val="0"/>
                <w:numId w:val="1"/>
              </w:numPr>
              <w:rPr>
                <w:sz w:val="24"/>
                <w:szCs w:val="24"/>
              </w:rPr>
            </w:pPr>
            <w:r w:rsidRPr="00190986">
              <w:rPr>
                <w:rFonts w:hint="eastAsia"/>
                <w:sz w:val="24"/>
                <w:szCs w:val="24"/>
              </w:rPr>
              <w:t>任何能夠將某個企業的商品或服務與其他企業商品或服務區別開來的「任何可見標誌」</w:t>
            </w:r>
          </w:p>
          <w:p w:rsidR="00AD5F16" w:rsidRDefault="00AD5F16" w:rsidP="00AD5F16">
            <w:pPr>
              <w:pStyle w:val="a3"/>
              <w:numPr>
                <w:ilvl w:val="0"/>
                <w:numId w:val="1"/>
              </w:numPr>
              <w:rPr>
                <w:sz w:val="24"/>
                <w:szCs w:val="24"/>
              </w:rPr>
            </w:pPr>
            <w:r>
              <w:rPr>
                <w:sz w:val="24"/>
                <w:szCs w:val="24"/>
              </w:rPr>
              <w:t>菲律賓智慧財產局接受非常多元的商標表現形式，且具有顯著性且可以視覺呈現，皆可提出申請:</w:t>
            </w:r>
          </w:p>
          <w:p w:rsidR="00AD5F16" w:rsidRDefault="00AD5F16" w:rsidP="00AD5F16">
            <w:pPr>
              <w:pStyle w:val="a3"/>
              <w:numPr>
                <w:ilvl w:val="0"/>
                <w:numId w:val="2"/>
              </w:numPr>
              <w:rPr>
                <w:sz w:val="24"/>
                <w:szCs w:val="24"/>
              </w:rPr>
            </w:pPr>
            <w:r>
              <w:rPr>
                <w:sz w:val="24"/>
                <w:szCs w:val="24"/>
              </w:rPr>
              <w:t>基本樣態:文字、圖形、字母、數字、顏色</w:t>
            </w:r>
          </w:p>
          <w:p w:rsidR="00AD5F16" w:rsidRPr="00190986" w:rsidRDefault="00AD5F16" w:rsidP="00AD5F16">
            <w:pPr>
              <w:pStyle w:val="a3"/>
              <w:numPr>
                <w:ilvl w:val="0"/>
                <w:numId w:val="2"/>
              </w:numPr>
              <w:rPr>
                <w:sz w:val="24"/>
                <w:szCs w:val="24"/>
              </w:rPr>
            </w:pPr>
            <w:r>
              <w:rPr>
                <w:rFonts w:hint="eastAsia"/>
                <w:sz w:val="24"/>
                <w:szCs w:val="24"/>
              </w:rPr>
              <w:t>非傳統商標:立體形狀、位置、連續型圖案、動態、多媒體、全像圖，或是上述要素的組合。</w:t>
            </w:r>
          </w:p>
          <w:p w:rsidR="00AD5F16" w:rsidRPr="00EE1135" w:rsidRDefault="00AD5F16" w:rsidP="00AD5F16">
            <w:pPr>
              <w:pStyle w:val="a3"/>
              <w:numPr>
                <w:ilvl w:val="0"/>
                <w:numId w:val="11"/>
              </w:numPr>
              <w:ind w:hanging="348"/>
              <w:rPr>
                <w:sz w:val="24"/>
                <w:szCs w:val="24"/>
              </w:rPr>
            </w:pPr>
            <w:r>
              <w:rPr>
                <w:sz w:val="24"/>
                <w:szCs w:val="24"/>
              </w:rPr>
              <w:t>優先權-</w:t>
            </w:r>
            <w:r w:rsidRPr="00EE1135">
              <w:rPr>
                <w:rFonts w:hint="eastAsia"/>
                <w:sz w:val="24"/>
                <w:szCs w:val="24"/>
              </w:rPr>
              <w:t>若該商標已在台灣或其他WTO會員國第一次提出申請，可在6個月內向菲律賓主張優先權。</w:t>
            </w:r>
          </w:p>
        </w:tc>
      </w:tr>
      <w:tr w:rsidR="00AD5F16" w:rsidRPr="000A765A" w:rsidTr="00061451">
        <w:tc>
          <w:tcPr>
            <w:tcW w:w="1276" w:type="dxa"/>
            <w:vMerge w:val="restart"/>
            <w:shd w:val="clear" w:color="auto" w:fill="D6E4F0"/>
            <w:tcMar>
              <w:top w:w="80" w:type="dxa"/>
              <w:left w:w="120" w:type="dxa"/>
              <w:bottom w:w="80" w:type="dxa"/>
              <w:right w:w="120" w:type="dxa"/>
            </w:tcMar>
            <w:vAlign w:val="center"/>
          </w:tcPr>
          <w:p w:rsidR="00AD5F16" w:rsidRPr="000A765A" w:rsidRDefault="00AD5F16" w:rsidP="00061451">
            <w:pPr>
              <w:jc w:val="center"/>
              <w:rPr>
                <w:sz w:val="24"/>
                <w:szCs w:val="24"/>
              </w:rPr>
            </w:pPr>
            <w:r w:rsidRPr="000A765A">
              <w:rPr>
                <w:b/>
                <w:bCs/>
                <w:sz w:val="24"/>
                <w:szCs w:val="24"/>
              </w:rPr>
              <w:t>申請程序</w:t>
            </w:r>
          </w:p>
        </w:tc>
        <w:tc>
          <w:tcPr>
            <w:tcW w:w="2835" w:type="dxa"/>
            <w:shd w:val="clear" w:color="auto" w:fill="EBF3FB"/>
          </w:tcPr>
          <w:p w:rsidR="00AD5F16" w:rsidRPr="000A765A" w:rsidRDefault="00AD5F16" w:rsidP="00061451">
            <w:pPr>
              <w:rPr>
                <w:sz w:val="24"/>
                <w:szCs w:val="24"/>
              </w:rPr>
            </w:pPr>
            <w:r w:rsidRPr="000A765A">
              <w:rPr>
                <w:sz w:val="24"/>
                <w:szCs w:val="24"/>
              </w:rPr>
              <w:t>1</w:t>
            </w:r>
            <w:r w:rsidRPr="000A765A">
              <w:rPr>
                <w:rFonts w:hint="eastAsia"/>
                <w:sz w:val="24"/>
                <w:szCs w:val="24"/>
              </w:rPr>
              <w:t>.商標檢索</w:t>
            </w:r>
          </w:p>
        </w:tc>
        <w:tc>
          <w:tcPr>
            <w:tcW w:w="9923" w:type="dxa"/>
            <w:shd w:val="clear" w:color="auto" w:fill="EBF3FB"/>
          </w:tcPr>
          <w:p w:rsidR="00AD5F16" w:rsidRPr="000A765A" w:rsidRDefault="00AD5F16" w:rsidP="00AD5F16">
            <w:pPr>
              <w:ind w:leftChars="65" w:left="130"/>
              <w:rPr>
                <w:sz w:val="24"/>
                <w:szCs w:val="24"/>
              </w:rPr>
            </w:pPr>
            <w:r>
              <w:rPr>
                <w:sz w:val="24"/>
                <w:szCs w:val="24"/>
              </w:rPr>
              <w:t>在</w:t>
            </w:r>
            <w:r w:rsidRPr="000A765A">
              <w:rPr>
                <w:sz w:val="24"/>
                <w:szCs w:val="24"/>
              </w:rPr>
              <w:t>提交前先於</w:t>
            </w:r>
            <w:r w:rsidRPr="001E575C">
              <w:rPr>
                <w:sz w:val="24"/>
                <w:szCs w:val="24"/>
              </w:rPr>
              <w:t>IPOPHL</w:t>
            </w:r>
            <w:r w:rsidRPr="000A765A">
              <w:rPr>
                <w:rFonts w:hint="eastAsia"/>
                <w:sz w:val="24"/>
                <w:szCs w:val="24"/>
              </w:rPr>
              <w:t>資料庫進行檢索，確認是否有相同或近似商標已存在，以降低被駁回風險。</w:t>
            </w:r>
          </w:p>
        </w:tc>
      </w:tr>
      <w:tr w:rsidR="00AD5F16" w:rsidRPr="000A765A" w:rsidTr="00061451">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EBF3FB"/>
          </w:tcPr>
          <w:p w:rsidR="00AD5F16" w:rsidRPr="000A765A" w:rsidRDefault="00AD5F16" w:rsidP="00061451">
            <w:pPr>
              <w:rPr>
                <w:sz w:val="24"/>
                <w:szCs w:val="24"/>
              </w:rPr>
            </w:pPr>
            <w:r w:rsidRPr="000A765A">
              <w:rPr>
                <w:sz w:val="24"/>
                <w:szCs w:val="24"/>
              </w:rPr>
              <w:t>2.提交申請</w:t>
            </w:r>
          </w:p>
        </w:tc>
        <w:tc>
          <w:tcPr>
            <w:tcW w:w="9923" w:type="dxa"/>
            <w:shd w:val="clear" w:color="auto" w:fill="EBF3FB"/>
          </w:tcPr>
          <w:p w:rsidR="00AD5F16" w:rsidRPr="000A765A" w:rsidRDefault="00AD5F16" w:rsidP="00AD5F16">
            <w:pPr>
              <w:ind w:leftChars="65" w:left="130"/>
              <w:rPr>
                <w:sz w:val="24"/>
                <w:szCs w:val="24"/>
              </w:rPr>
            </w:pPr>
            <w:r w:rsidRPr="000A765A">
              <w:rPr>
                <w:sz w:val="24"/>
                <w:szCs w:val="24"/>
              </w:rPr>
              <w:t>準備商標圖樣、指定商品/服務類別(採用尼斯分類)，並載明申請人名稱、申請人地址、申請人國籍、商標圖樣、指定商品及服務</w:t>
            </w:r>
            <w:r>
              <w:rPr>
                <w:sz w:val="24"/>
                <w:szCs w:val="24"/>
              </w:rPr>
              <w:t>，由當地代理人向</w:t>
            </w:r>
            <w:r w:rsidRPr="001E575C">
              <w:rPr>
                <w:sz w:val="24"/>
                <w:szCs w:val="24"/>
              </w:rPr>
              <w:t>IPOPHL</w:t>
            </w:r>
            <w:r>
              <w:rPr>
                <w:sz w:val="24"/>
                <w:szCs w:val="24"/>
              </w:rPr>
              <w:t>遞交</w:t>
            </w:r>
            <w:r w:rsidRPr="000A765A">
              <w:rPr>
                <w:rFonts w:hint="eastAsia"/>
                <w:sz w:val="24"/>
                <w:szCs w:val="24"/>
              </w:rPr>
              <w:t>。</w:t>
            </w:r>
          </w:p>
        </w:tc>
      </w:tr>
      <w:tr w:rsidR="00AD5F16" w:rsidRPr="000A765A" w:rsidTr="00061451">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EBF3FB"/>
          </w:tcPr>
          <w:p w:rsidR="00AD5F16" w:rsidRPr="000A765A" w:rsidRDefault="00AD5F16" w:rsidP="00061451">
            <w:pPr>
              <w:rPr>
                <w:sz w:val="24"/>
                <w:szCs w:val="24"/>
              </w:rPr>
            </w:pPr>
            <w:r w:rsidRPr="000A765A">
              <w:rPr>
                <w:sz w:val="24"/>
                <w:szCs w:val="24"/>
              </w:rPr>
              <w:t>3.官方審查</w:t>
            </w:r>
          </w:p>
        </w:tc>
        <w:tc>
          <w:tcPr>
            <w:tcW w:w="9923" w:type="dxa"/>
            <w:shd w:val="clear" w:color="auto" w:fill="EBF3FB"/>
          </w:tcPr>
          <w:p w:rsidR="00AD5F16" w:rsidRPr="000A765A" w:rsidRDefault="00AD5F16" w:rsidP="00AD5F16">
            <w:pPr>
              <w:ind w:leftChars="65" w:left="130"/>
              <w:rPr>
                <w:sz w:val="24"/>
                <w:szCs w:val="24"/>
              </w:rPr>
            </w:pPr>
            <w:r w:rsidRPr="000A765A">
              <w:rPr>
                <w:sz w:val="24"/>
                <w:szCs w:val="24"/>
              </w:rPr>
              <w:t>包含形式審查(文件格式)</w:t>
            </w:r>
            <w:r w:rsidRPr="000A765A">
              <w:rPr>
                <w:rFonts w:hint="eastAsia"/>
                <w:sz w:val="24"/>
                <w:szCs w:val="24"/>
              </w:rPr>
              <w:t>與實質審查(是否具備顯著性、是否與他案衝突)。</w:t>
            </w:r>
          </w:p>
        </w:tc>
      </w:tr>
      <w:tr w:rsidR="00AD5F16" w:rsidRPr="000A765A" w:rsidTr="00061451">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EBF3FB"/>
          </w:tcPr>
          <w:p w:rsidR="00AD5F16" w:rsidRPr="000A765A" w:rsidRDefault="00AD5F16" w:rsidP="00061451">
            <w:pPr>
              <w:rPr>
                <w:sz w:val="24"/>
                <w:szCs w:val="24"/>
              </w:rPr>
            </w:pPr>
            <w:r w:rsidRPr="000A765A">
              <w:rPr>
                <w:sz w:val="24"/>
                <w:szCs w:val="24"/>
              </w:rPr>
              <w:t>4.公告</w:t>
            </w:r>
          </w:p>
        </w:tc>
        <w:tc>
          <w:tcPr>
            <w:tcW w:w="9923" w:type="dxa"/>
            <w:shd w:val="clear" w:color="auto" w:fill="EBF3FB"/>
          </w:tcPr>
          <w:p w:rsidR="00AD5F16" w:rsidRPr="000A765A" w:rsidRDefault="00AD5F16" w:rsidP="00AD5F16">
            <w:pPr>
              <w:ind w:leftChars="65" w:left="130"/>
              <w:rPr>
                <w:sz w:val="24"/>
                <w:szCs w:val="24"/>
              </w:rPr>
            </w:pPr>
            <w:r>
              <w:rPr>
                <w:sz w:val="24"/>
                <w:szCs w:val="24"/>
              </w:rPr>
              <w:t>審核通過會進入官方公告期，公告30日</w:t>
            </w:r>
            <w:r w:rsidRPr="000A765A">
              <w:rPr>
                <w:sz w:val="24"/>
                <w:szCs w:val="24"/>
              </w:rPr>
              <w:t>任何人皆可提出異議。</w:t>
            </w:r>
          </w:p>
        </w:tc>
      </w:tr>
      <w:tr w:rsidR="00AD5F16" w:rsidRPr="000A765A" w:rsidTr="00061451">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EBF3FB"/>
          </w:tcPr>
          <w:p w:rsidR="00AD5F16" w:rsidRPr="000A765A" w:rsidRDefault="00AD5F16" w:rsidP="00061451">
            <w:pPr>
              <w:rPr>
                <w:sz w:val="24"/>
                <w:szCs w:val="24"/>
              </w:rPr>
            </w:pPr>
            <w:r w:rsidRPr="000A765A">
              <w:rPr>
                <w:sz w:val="24"/>
                <w:szCs w:val="24"/>
              </w:rPr>
              <w:t>5.核准發證</w:t>
            </w:r>
          </w:p>
        </w:tc>
        <w:tc>
          <w:tcPr>
            <w:tcW w:w="9923" w:type="dxa"/>
            <w:shd w:val="clear" w:color="auto" w:fill="EBF3FB"/>
          </w:tcPr>
          <w:p w:rsidR="00AD5F16" w:rsidRPr="000A765A" w:rsidRDefault="00AD5F16" w:rsidP="00AD5F16">
            <w:pPr>
              <w:ind w:leftChars="65" w:left="130"/>
              <w:rPr>
                <w:sz w:val="24"/>
                <w:szCs w:val="24"/>
              </w:rPr>
            </w:pPr>
            <w:r>
              <w:rPr>
                <w:sz w:val="24"/>
                <w:szCs w:val="24"/>
              </w:rPr>
              <w:t>公告期滿無人異議，或異議不成立，並核</w:t>
            </w:r>
            <w:r w:rsidRPr="000A765A">
              <w:rPr>
                <w:sz w:val="24"/>
                <w:szCs w:val="24"/>
              </w:rPr>
              <w:t>發商標註冊證。</w:t>
            </w:r>
          </w:p>
        </w:tc>
      </w:tr>
      <w:tr w:rsidR="00AD5F16" w:rsidRPr="000A765A" w:rsidTr="00061451">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EBF3FB"/>
          </w:tcPr>
          <w:p w:rsidR="00AD5F16" w:rsidRPr="000A765A" w:rsidRDefault="00AD5F16" w:rsidP="00061451">
            <w:pPr>
              <w:rPr>
                <w:sz w:val="24"/>
                <w:szCs w:val="24"/>
              </w:rPr>
            </w:pPr>
            <w:r>
              <w:rPr>
                <w:sz w:val="24"/>
                <w:szCs w:val="24"/>
              </w:rPr>
              <w:t>審查期間</w:t>
            </w:r>
          </w:p>
        </w:tc>
        <w:tc>
          <w:tcPr>
            <w:tcW w:w="9923" w:type="dxa"/>
            <w:shd w:val="clear" w:color="auto" w:fill="EBF3FB"/>
          </w:tcPr>
          <w:p w:rsidR="00AD5F16" w:rsidRPr="000A765A" w:rsidRDefault="00AD5F16" w:rsidP="00AD5F16">
            <w:pPr>
              <w:ind w:leftChars="65" w:left="130"/>
              <w:rPr>
                <w:sz w:val="24"/>
                <w:szCs w:val="24"/>
              </w:rPr>
            </w:pPr>
            <w:r>
              <w:rPr>
                <w:sz w:val="24"/>
                <w:szCs w:val="24"/>
              </w:rPr>
              <w:t>商標審查時間:大約8-24個月。</w:t>
            </w:r>
          </w:p>
        </w:tc>
      </w:tr>
      <w:tr w:rsidR="00AD5F16" w:rsidRPr="000A765A" w:rsidTr="00061451">
        <w:trPr>
          <w:trHeight w:val="30"/>
        </w:trPr>
        <w:tc>
          <w:tcPr>
            <w:tcW w:w="1276" w:type="dxa"/>
            <w:vMerge w:val="restart"/>
            <w:shd w:val="clear" w:color="auto" w:fill="D6E4F0"/>
            <w:tcMar>
              <w:top w:w="80" w:type="dxa"/>
              <w:left w:w="120" w:type="dxa"/>
              <w:bottom w:w="80" w:type="dxa"/>
              <w:right w:w="120" w:type="dxa"/>
            </w:tcMar>
            <w:vAlign w:val="center"/>
          </w:tcPr>
          <w:p w:rsidR="00AD5F16" w:rsidRPr="000A765A" w:rsidRDefault="00AD5F16" w:rsidP="00061451">
            <w:pPr>
              <w:jc w:val="center"/>
              <w:rPr>
                <w:sz w:val="24"/>
                <w:szCs w:val="24"/>
              </w:rPr>
            </w:pPr>
            <w:r w:rsidRPr="000A765A">
              <w:rPr>
                <w:b/>
                <w:bCs/>
                <w:sz w:val="24"/>
                <w:szCs w:val="24"/>
              </w:rPr>
              <w:lastRenderedPageBreak/>
              <w:t>商標權</w:t>
            </w:r>
          </w:p>
        </w:tc>
        <w:tc>
          <w:tcPr>
            <w:tcW w:w="2835" w:type="dxa"/>
            <w:shd w:val="clear" w:color="auto" w:fill="FFFFFF"/>
          </w:tcPr>
          <w:p w:rsidR="00AD5F16" w:rsidRPr="000A765A" w:rsidRDefault="00AD5F16" w:rsidP="00061451">
            <w:pPr>
              <w:rPr>
                <w:sz w:val="24"/>
                <w:szCs w:val="24"/>
              </w:rPr>
            </w:pPr>
            <w:r w:rsidRPr="000A765A">
              <w:rPr>
                <w:sz w:val="24"/>
                <w:szCs w:val="24"/>
              </w:rPr>
              <w:t>A.</w:t>
            </w:r>
            <w:r w:rsidRPr="000A765A">
              <w:rPr>
                <w:rFonts w:hint="eastAsia"/>
                <w:sz w:val="24"/>
                <w:szCs w:val="24"/>
              </w:rPr>
              <w:t>權利期間</w:t>
            </w:r>
          </w:p>
        </w:tc>
        <w:tc>
          <w:tcPr>
            <w:tcW w:w="9923" w:type="dxa"/>
            <w:shd w:val="clear" w:color="auto" w:fill="FFFFFF"/>
            <w:tcMar>
              <w:top w:w="80" w:type="dxa"/>
              <w:left w:w="120" w:type="dxa"/>
              <w:bottom w:w="80" w:type="dxa"/>
              <w:right w:w="120" w:type="dxa"/>
            </w:tcMar>
          </w:tcPr>
          <w:p w:rsidR="00AD5F16" w:rsidRPr="000A765A" w:rsidRDefault="00AD5F16" w:rsidP="00061451">
            <w:pPr>
              <w:rPr>
                <w:sz w:val="24"/>
                <w:szCs w:val="24"/>
              </w:rPr>
            </w:pPr>
            <w:r>
              <w:rPr>
                <w:sz w:val="24"/>
                <w:szCs w:val="24"/>
              </w:rPr>
              <w:t>註冊</w:t>
            </w:r>
            <w:r w:rsidRPr="000A765A">
              <w:rPr>
                <w:sz w:val="24"/>
                <w:szCs w:val="24"/>
              </w:rPr>
              <w:t>日起10年屆滿。</w:t>
            </w:r>
          </w:p>
        </w:tc>
      </w:tr>
      <w:tr w:rsidR="00AD5F16" w:rsidRPr="000A765A" w:rsidTr="00061451">
        <w:trPr>
          <w:trHeight w:val="30"/>
        </w:trPr>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FFFFFF"/>
          </w:tcPr>
          <w:p w:rsidR="00AD5F16" w:rsidRPr="000A765A" w:rsidRDefault="00AD5F16" w:rsidP="00061451">
            <w:pPr>
              <w:rPr>
                <w:sz w:val="24"/>
                <w:szCs w:val="24"/>
              </w:rPr>
            </w:pPr>
            <w:r w:rsidRPr="000A765A">
              <w:rPr>
                <w:rFonts w:hint="eastAsia"/>
                <w:sz w:val="24"/>
                <w:szCs w:val="24"/>
              </w:rPr>
              <w:t>B.延展</w:t>
            </w:r>
          </w:p>
        </w:tc>
        <w:tc>
          <w:tcPr>
            <w:tcW w:w="9923" w:type="dxa"/>
            <w:shd w:val="clear" w:color="auto" w:fill="FFFFFF"/>
            <w:tcMar>
              <w:top w:w="80" w:type="dxa"/>
              <w:left w:w="120" w:type="dxa"/>
              <w:bottom w:w="80" w:type="dxa"/>
              <w:right w:w="120" w:type="dxa"/>
            </w:tcMar>
          </w:tcPr>
          <w:p w:rsidR="00AD5F16" w:rsidRPr="000A765A" w:rsidRDefault="00AD5F16" w:rsidP="00061451">
            <w:pPr>
              <w:rPr>
                <w:sz w:val="24"/>
                <w:szCs w:val="24"/>
              </w:rPr>
            </w:pPr>
            <w:r w:rsidRPr="000A765A">
              <w:rPr>
                <w:sz w:val="24"/>
                <w:szCs w:val="24"/>
              </w:rPr>
              <w:t>屆滿後每次可延展10年，延展應於屆滿前</w:t>
            </w:r>
            <w:r>
              <w:rPr>
                <w:sz w:val="24"/>
                <w:szCs w:val="24"/>
              </w:rPr>
              <w:t>6</w:t>
            </w:r>
            <w:r w:rsidRPr="000A765A">
              <w:rPr>
                <w:sz w:val="24"/>
                <w:szCs w:val="24"/>
              </w:rPr>
              <w:t>個月提出，得無限次延展。</w:t>
            </w:r>
          </w:p>
        </w:tc>
      </w:tr>
      <w:tr w:rsidR="00AD5F16" w:rsidRPr="000A765A" w:rsidTr="00061451">
        <w:trPr>
          <w:trHeight w:val="30"/>
        </w:trPr>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FFFFFF"/>
          </w:tcPr>
          <w:p w:rsidR="00AD5F16" w:rsidRPr="000A765A" w:rsidRDefault="00AD5F16" w:rsidP="00061451">
            <w:pPr>
              <w:rPr>
                <w:sz w:val="24"/>
                <w:szCs w:val="24"/>
              </w:rPr>
            </w:pPr>
            <w:r w:rsidRPr="000A765A">
              <w:rPr>
                <w:rFonts w:hint="eastAsia"/>
                <w:sz w:val="24"/>
                <w:szCs w:val="24"/>
              </w:rPr>
              <w:t>C.延展寬限期</w:t>
            </w:r>
          </w:p>
        </w:tc>
        <w:tc>
          <w:tcPr>
            <w:tcW w:w="9923" w:type="dxa"/>
            <w:shd w:val="clear" w:color="auto" w:fill="FFFFFF"/>
            <w:tcMar>
              <w:top w:w="80" w:type="dxa"/>
              <w:left w:w="120" w:type="dxa"/>
              <w:bottom w:w="80" w:type="dxa"/>
              <w:right w:w="120" w:type="dxa"/>
            </w:tcMar>
          </w:tcPr>
          <w:p w:rsidR="00AD5F16" w:rsidRPr="000A765A" w:rsidRDefault="00AD5F16" w:rsidP="00061451">
            <w:pPr>
              <w:rPr>
                <w:sz w:val="24"/>
                <w:szCs w:val="24"/>
              </w:rPr>
            </w:pPr>
            <w:r w:rsidRPr="000A765A">
              <w:rPr>
                <w:sz w:val="24"/>
                <w:szCs w:val="24"/>
              </w:rPr>
              <w:t>10年期間屆滿後6個月內為延展寬限期</w:t>
            </w:r>
            <w:r>
              <w:rPr>
                <w:sz w:val="24"/>
                <w:szCs w:val="24"/>
              </w:rPr>
              <w:t>，</w:t>
            </w:r>
            <w:r>
              <w:rPr>
                <w:rFonts w:hint="eastAsia"/>
                <w:sz w:val="24"/>
                <w:szCs w:val="24"/>
              </w:rPr>
              <w:t>需增加規費</w:t>
            </w:r>
            <w:r w:rsidRPr="000A765A">
              <w:rPr>
                <w:sz w:val="24"/>
                <w:szCs w:val="24"/>
              </w:rPr>
              <w:t>。</w:t>
            </w:r>
          </w:p>
        </w:tc>
      </w:tr>
      <w:tr w:rsidR="00AD5F16" w:rsidRPr="000A765A" w:rsidTr="00061451">
        <w:trPr>
          <w:trHeight w:val="1614"/>
        </w:trPr>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FFFFFF"/>
          </w:tcPr>
          <w:p w:rsidR="00AD5F16" w:rsidRPr="000A765A" w:rsidRDefault="00AD5F16" w:rsidP="00061451">
            <w:pPr>
              <w:rPr>
                <w:sz w:val="24"/>
                <w:szCs w:val="24"/>
              </w:rPr>
            </w:pPr>
            <w:r w:rsidRPr="000A765A">
              <w:rPr>
                <w:rFonts w:hint="eastAsia"/>
                <w:sz w:val="24"/>
                <w:szCs w:val="24"/>
              </w:rPr>
              <w:t>D.使用證明</w:t>
            </w:r>
          </w:p>
        </w:tc>
        <w:tc>
          <w:tcPr>
            <w:tcW w:w="9923" w:type="dxa"/>
            <w:shd w:val="clear" w:color="auto" w:fill="FFFFFF"/>
            <w:tcMar>
              <w:top w:w="80" w:type="dxa"/>
              <w:left w:w="120" w:type="dxa"/>
              <w:bottom w:w="80" w:type="dxa"/>
              <w:right w:w="120" w:type="dxa"/>
            </w:tcMar>
          </w:tcPr>
          <w:p w:rsidR="00AD5F16" w:rsidRPr="001E575C" w:rsidRDefault="00AD5F16" w:rsidP="00AD5F16">
            <w:pPr>
              <w:pStyle w:val="a3"/>
              <w:numPr>
                <w:ilvl w:val="0"/>
                <w:numId w:val="3"/>
              </w:numPr>
              <w:rPr>
                <w:sz w:val="24"/>
                <w:szCs w:val="24"/>
              </w:rPr>
            </w:pPr>
            <w:r w:rsidRPr="001E575C">
              <w:rPr>
                <w:sz w:val="24"/>
                <w:szCs w:val="24"/>
              </w:rPr>
              <w:t>須提交實際使用宣誓書及提供使用證據。</w:t>
            </w:r>
          </w:p>
          <w:p w:rsidR="00AD5F16" w:rsidRDefault="00AD5F16" w:rsidP="00AD5F16">
            <w:pPr>
              <w:pStyle w:val="a3"/>
              <w:numPr>
                <w:ilvl w:val="0"/>
                <w:numId w:val="3"/>
              </w:numPr>
              <w:rPr>
                <w:sz w:val="24"/>
                <w:szCs w:val="24"/>
              </w:rPr>
            </w:pPr>
            <w:r>
              <w:rPr>
                <w:sz w:val="24"/>
                <w:szCs w:val="24"/>
              </w:rPr>
              <w:t>菲律賓特有</w:t>
            </w:r>
            <w:r>
              <w:rPr>
                <w:rFonts w:hint="eastAsia"/>
                <w:sz w:val="24"/>
                <w:szCs w:val="24"/>
              </w:rPr>
              <w:t>:強制提交「使用宣誓書(DAU)」，菲律賓商標法規嚴格規定，商標註冊後必須在特定期間內提交實際使用宣誓書(Declaration of actual use)及使用宣誓(如在當地銷售的商品照片、發票、實體店面照片等)，未提出商標</w:t>
            </w:r>
            <w:r w:rsidRPr="00EA6B59">
              <w:rPr>
                <w:sz w:val="24"/>
                <w:szCs w:val="24"/>
              </w:rPr>
              <w:t>可能遭撤銷</w:t>
            </w:r>
            <w:r>
              <w:rPr>
                <w:rFonts w:hint="eastAsia"/>
                <w:sz w:val="24"/>
                <w:szCs w:val="24"/>
              </w:rPr>
              <w:t>。</w:t>
            </w:r>
          </w:p>
          <w:p w:rsidR="00AD5F16" w:rsidRDefault="00AD5F16" w:rsidP="00061451">
            <w:pPr>
              <w:pStyle w:val="a3"/>
              <w:ind w:left="480"/>
              <w:rPr>
                <w:sz w:val="24"/>
                <w:szCs w:val="24"/>
              </w:rPr>
            </w:pPr>
            <w:r w:rsidRPr="0061048D">
              <w:rPr>
                <w:sz w:val="24"/>
                <w:szCs w:val="24"/>
              </w:rPr>
              <w:t>主要提交的四個時間點</w:t>
            </w:r>
            <w:r>
              <w:rPr>
                <w:sz w:val="24"/>
                <w:szCs w:val="24"/>
              </w:rPr>
              <w:t>:</w:t>
            </w:r>
          </w:p>
          <w:p w:rsidR="00AD5F16" w:rsidRDefault="00AD5F16" w:rsidP="00AD5F16">
            <w:pPr>
              <w:pStyle w:val="a3"/>
              <w:numPr>
                <w:ilvl w:val="0"/>
                <w:numId w:val="4"/>
              </w:numPr>
              <w:rPr>
                <w:sz w:val="24"/>
                <w:szCs w:val="24"/>
              </w:rPr>
            </w:pPr>
            <w:r>
              <w:rPr>
                <w:rFonts w:hint="eastAsia"/>
                <w:sz w:val="24"/>
                <w:szCs w:val="24"/>
              </w:rPr>
              <w:t>第1次:申請日起算3年內</w:t>
            </w:r>
          </w:p>
          <w:p w:rsidR="00AD5F16" w:rsidRDefault="00AD5F16" w:rsidP="00AD5F16">
            <w:pPr>
              <w:pStyle w:val="a3"/>
              <w:numPr>
                <w:ilvl w:val="0"/>
                <w:numId w:val="4"/>
              </w:numPr>
              <w:rPr>
                <w:sz w:val="24"/>
                <w:szCs w:val="24"/>
              </w:rPr>
            </w:pPr>
            <w:r>
              <w:rPr>
                <w:rFonts w:hint="eastAsia"/>
                <w:sz w:val="24"/>
                <w:szCs w:val="24"/>
              </w:rPr>
              <w:t>第2次:註冊日第5至第6年間</w:t>
            </w:r>
          </w:p>
          <w:p w:rsidR="00AD5F16" w:rsidRDefault="00AD5F16" w:rsidP="00AD5F16">
            <w:pPr>
              <w:pStyle w:val="a3"/>
              <w:numPr>
                <w:ilvl w:val="0"/>
                <w:numId w:val="4"/>
              </w:numPr>
              <w:rPr>
                <w:sz w:val="24"/>
                <w:szCs w:val="24"/>
              </w:rPr>
            </w:pPr>
            <w:r>
              <w:rPr>
                <w:rFonts w:hint="eastAsia"/>
                <w:sz w:val="24"/>
                <w:szCs w:val="24"/>
              </w:rPr>
              <w:t>第3次:商標獲准延展後1年內</w:t>
            </w:r>
          </w:p>
          <w:p w:rsidR="00AD5F16" w:rsidRPr="00D967AE" w:rsidRDefault="00AD5F16" w:rsidP="00AD5F16">
            <w:pPr>
              <w:pStyle w:val="a3"/>
              <w:numPr>
                <w:ilvl w:val="0"/>
                <w:numId w:val="4"/>
              </w:numPr>
              <w:rPr>
                <w:sz w:val="24"/>
                <w:szCs w:val="24"/>
              </w:rPr>
            </w:pPr>
            <w:r>
              <w:rPr>
                <w:rFonts w:hint="eastAsia"/>
                <w:sz w:val="24"/>
                <w:szCs w:val="24"/>
              </w:rPr>
              <w:t>第4次:商標獲准延展後第5至第6年間</w:t>
            </w:r>
          </w:p>
        </w:tc>
      </w:tr>
      <w:tr w:rsidR="00AD5F16" w:rsidRPr="000A765A" w:rsidTr="00061451">
        <w:trPr>
          <w:trHeight w:val="406"/>
        </w:trPr>
        <w:tc>
          <w:tcPr>
            <w:tcW w:w="1276" w:type="dxa"/>
            <w:vMerge w:val="restart"/>
            <w:shd w:val="clear" w:color="auto" w:fill="D6E4F0"/>
            <w:tcMar>
              <w:top w:w="80" w:type="dxa"/>
              <w:left w:w="120" w:type="dxa"/>
              <w:bottom w:w="80" w:type="dxa"/>
              <w:right w:w="120" w:type="dxa"/>
            </w:tcMar>
            <w:vAlign w:val="center"/>
          </w:tcPr>
          <w:p w:rsidR="00AD5F16" w:rsidRPr="000A765A" w:rsidRDefault="00AD5F16" w:rsidP="00061451">
            <w:pPr>
              <w:jc w:val="center"/>
              <w:rPr>
                <w:b/>
                <w:sz w:val="24"/>
                <w:szCs w:val="24"/>
              </w:rPr>
            </w:pPr>
            <w:r w:rsidRPr="000A765A">
              <w:rPr>
                <w:rFonts w:hint="eastAsia"/>
                <w:b/>
                <w:sz w:val="24"/>
                <w:szCs w:val="24"/>
              </w:rPr>
              <w:t>商標爭議救濟</w:t>
            </w:r>
          </w:p>
          <w:p w:rsidR="00AD5F16" w:rsidRPr="000A765A" w:rsidRDefault="00AD5F16" w:rsidP="00061451">
            <w:pPr>
              <w:jc w:val="center"/>
              <w:rPr>
                <w:sz w:val="24"/>
                <w:szCs w:val="24"/>
              </w:rPr>
            </w:pPr>
          </w:p>
        </w:tc>
        <w:tc>
          <w:tcPr>
            <w:tcW w:w="2835" w:type="dxa"/>
            <w:shd w:val="clear" w:color="auto" w:fill="EBF3FB"/>
          </w:tcPr>
          <w:p w:rsidR="00AD5F16" w:rsidRPr="000A765A" w:rsidRDefault="00AD5F16" w:rsidP="00061451">
            <w:pPr>
              <w:rPr>
                <w:sz w:val="24"/>
                <w:szCs w:val="24"/>
              </w:rPr>
            </w:pPr>
            <w:r w:rsidRPr="000A765A">
              <w:rPr>
                <w:rFonts w:hint="eastAsia"/>
                <w:sz w:val="24"/>
                <w:szCs w:val="24"/>
              </w:rPr>
              <w:t>異議</w:t>
            </w:r>
          </w:p>
        </w:tc>
        <w:tc>
          <w:tcPr>
            <w:tcW w:w="9923" w:type="dxa"/>
            <w:shd w:val="clear" w:color="auto" w:fill="EBF3FB"/>
            <w:tcMar>
              <w:top w:w="80" w:type="dxa"/>
              <w:left w:w="120" w:type="dxa"/>
              <w:bottom w:w="80" w:type="dxa"/>
              <w:right w:w="120" w:type="dxa"/>
            </w:tcMar>
          </w:tcPr>
          <w:p w:rsidR="00AD5F16" w:rsidRDefault="00AD5F16" w:rsidP="00AD5F16">
            <w:pPr>
              <w:pStyle w:val="a3"/>
              <w:numPr>
                <w:ilvl w:val="0"/>
                <w:numId w:val="5"/>
              </w:numPr>
              <w:rPr>
                <w:sz w:val="24"/>
                <w:szCs w:val="24"/>
              </w:rPr>
            </w:pPr>
            <w:r>
              <w:rPr>
                <w:sz w:val="24"/>
                <w:szCs w:val="24"/>
              </w:rPr>
              <w:t>異議期限:自商標刊登於電子公報當日起算30天內，時間抓得非常緊湊，與部分國家的3個月不同。</w:t>
            </w:r>
          </w:p>
          <w:p w:rsidR="00AD5F16" w:rsidRDefault="00AD5F16" w:rsidP="00AD5F16">
            <w:pPr>
              <w:pStyle w:val="a3"/>
              <w:numPr>
                <w:ilvl w:val="0"/>
                <w:numId w:val="5"/>
              </w:numPr>
              <w:rPr>
                <w:sz w:val="24"/>
                <w:szCs w:val="24"/>
              </w:rPr>
            </w:pPr>
            <w:r>
              <w:rPr>
                <w:rFonts w:hint="eastAsia"/>
                <w:sz w:val="24"/>
                <w:szCs w:val="24"/>
              </w:rPr>
              <w:t>延期申請:若準備不及，可申請延期，每次通常可延30天，但有總天數上限，且須繳納延期規費。</w:t>
            </w:r>
          </w:p>
          <w:p w:rsidR="00AD5F16" w:rsidRDefault="00AD5F16" w:rsidP="00AD5F16">
            <w:pPr>
              <w:pStyle w:val="a3"/>
              <w:numPr>
                <w:ilvl w:val="0"/>
                <w:numId w:val="5"/>
              </w:numPr>
              <w:rPr>
                <w:sz w:val="24"/>
                <w:szCs w:val="24"/>
              </w:rPr>
            </w:pPr>
            <w:r>
              <w:rPr>
                <w:rFonts w:hint="eastAsia"/>
                <w:sz w:val="24"/>
                <w:szCs w:val="24"/>
              </w:rPr>
              <w:t>審理週期:異議案件審理時間一般需要12至24個月，視案情複雜度與官方工作效率而定。</w:t>
            </w:r>
          </w:p>
          <w:p w:rsidR="00AD5F16" w:rsidRPr="00E372A1" w:rsidRDefault="00AD5F16" w:rsidP="00AD5F16">
            <w:pPr>
              <w:pStyle w:val="a3"/>
              <w:numPr>
                <w:ilvl w:val="0"/>
                <w:numId w:val="5"/>
              </w:numPr>
              <w:rPr>
                <w:sz w:val="24"/>
                <w:szCs w:val="24"/>
              </w:rPr>
            </w:pPr>
            <w:r>
              <w:rPr>
                <w:rFonts w:hint="eastAsia"/>
                <w:sz w:val="24"/>
                <w:szCs w:val="24"/>
              </w:rPr>
              <w:t>常見異議理由:</w:t>
            </w:r>
          </w:p>
          <w:p w:rsidR="00AD5F16" w:rsidRDefault="00AD5F16" w:rsidP="00061451">
            <w:pPr>
              <w:pStyle w:val="a3"/>
              <w:ind w:left="480"/>
              <w:rPr>
                <w:sz w:val="24"/>
                <w:szCs w:val="24"/>
              </w:rPr>
            </w:pPr>
            <w:r>
              <w:rPr>
                <w:rFonts w:hint="eastAsia"/>
                <w:sz w:val="24"/>
                <w:szCs w:val="24"/>
              </w:rPr>
              <w:t>根據菲律賓智慧財產法規定，提出異議主要基於以下幾點:</w:t>
            </w:r>
          </w:p>
          <w:p w:rsidR="00AD5F16" w:rsidRDefault="00AD5F16" w:rsidP="00AD5F16">
            <w:pPr>
              <w:pStyle w:val="a3"/>
              <w:numPr>
                <w:ilvl w:val="0"/>
                <w:numId w:val="6"/>
              </w:numPr>
              <w:rPr>
                <w:sz w:val="24"/>
                <w:szCs w:val="24"/>
              </w:rPr>
            </w:pPr>
            <w:r>
              <w:rPr>
                <w:sz w:val="24"/>
                <w:szCs w:val="24"/>
              </w:rPr>
              <w:t>在先商標衝突:與已註冊或先申請商標構成近似，容易造成消費者混淆誤認。</w:t>
            </w:r>
          </w:p>
          <w:p w:rsidR="00AD5F16" w:rsidRDefault="00AD5F16" w:rsidP="00AD5F16">
            <w:pPr>
              <w:pStyle w:val="a3"/>
              <w:numPr>
                <w:ilvl w:val="0"/>
                <w:numId w:val="6"/>
              </w:numPr>
              <w:rPr>
                <w:sz w:val="24"/>
                <w:szCs w:val="24"/>
              </w:rPr>
            </w:pPr>
            <w:r>
              <w:rPr>
                <w:rFonts w:hint="eastAsia"/>
                <w:sz w:val="24"/>
                <w:szCs w:val="24"/>
              </w:rPr>
              <w:lastRenderedPageBreak/>
              <w:t>缺乏顯著性:商標屬於通用名稱、直接描述產品特徵或過於單調，不具識別力。</w:t>
            </w:r>
          </w:p>
          <w:p w:rsidR="00AD5F16" w:rsidRDefault="00AD5F16" w:rsidP="00AD5F16">
            <w:pPr>
              <w:pStyle w:val="a3"/>
              <w:numPr>
                <w:ilvl w:val="0"/>
                <w:numId w:val="6"/>
              </w:numPr>
              <w:rPr>
                <w:sz w:val="24"/>
                <w:szCs w:val="24"/>
              </w:rPr>
            </w:pPr>
            <w:r>
              <w:rPr>
                <w:rFonts w:hint="eastAsia"/>
                <w:sz w:val="24"/>
                <w:szCs w:val="24"/>
              </w:rPr>
              <w:t>惡意搶</w:t>
            </w:r>
            <w:proofErr w:type="gramStart"/>
            <w:r>
              <w:rPr>
                <w:rFonts w:hint="eastAsia"/>
                <w:sz w:val="24"/>
                <w:szCs w:val="24"/>
              </w:rPr>
              <w:t>註</w:t>
            </w:r>
            <w:proofErr w:type="gramEnd"/>
            <w:r>
              <w:rPr>
                <w:rFonts w:hint="eastAsia"/>
                <w:sz w:val="24"/>
                <w:szCs w:val="24"/>
              </w:rPr>
              <w:t>:申請人明知該商標屬於他人，卻惡意在菲律賓搶先註冊。</w:t>
            </w:r>
          </w:p>
          <w:p w:rsidR="00AD5F16" w:rsidRPr="00D967AE" w:rsidRDefault="00AD5F16" w:rsidP="00AD5F16">
            <w:pPr>
              <w:pStyle w:val="a3"/>
              <w:numPr>
                <w:ilvl w:val="0"/>
                <w:numId w:val="6"/>
              </w:numPr>
              <w:rPr>
                <w:sz w:val="24"/>
                <w:szCs w:val="24"/>
              </w:rPr>
            </w:pPr>
            <w:r>
              <w:rPr>
                <w:rFonts w:hint="eastAsia"/>
                <w:sz w:val="24"/>
                <w:szCs w:val="24"/>
              </w:rPr>
              <w:t>違反公共利益:商標包含具不良影響、欺騙性、侮辱性或違反公共秩序文字圖樣。</w:t>
            </w:r>
          </w:p>
        </w:tc>
      </w:tr>
      <w:tr w:rsidR="00AD5F16" w:rsidRPr="000A765A" w:rsidTr="00061451">
        <w:tc>
          <w:tcPr>
            <w:tcW w:w="1276" w:type="dxa"/>
            <w:vMerge/>
            <w:shd w:val="clear" w:color="auto" w:fill="D6E4F0"/>
            <w:tcMar>
              <w:top w:w="80" w:type="dxa"/>
              <w:left w:w="120" w:type="dxa"/>
              <w:bottom w:w="80" w:type="dxa"/>
              <w:right w:w="120" w:type="dxa"/>
            </w:tcMar>
          </w:tcPr>
          <w:p w:rsidR="00AD5F16" w:rsidRPr="000A765A" w:rsidRDefault="00AD5F16" w:rsidP="00061451">
            <w:pPr>
              <w:rPr>
                <w:sz w:val="24"/>
                <w:szCs w:val="24"/>
              </w:rPr>
            </w:pPr>
          </w:p>
        </w:tc>
        <w:tc>
          <w:tcPr>
            <w:tcW w:w="2835" w:type="dxa"/>
            <w:shd w:val="clear" w:color="auto" w:fill="FFFFFF"/>
          </w:tcPr>
          <w:p w:rsidR="00AD5F16" w:rsidRPr="000A765A" w:rsidRDefault="00AD5F16" w:rsidP="00061451">
            <w:pPr>
              <w:rPr>
                <w:sz w:val="24"/>
                <w:szCs w:val="24"/>
              </w:rPr>
            </w:pPr>
            <w:r w:rsidRPr="000A765A">
              <w:rPr>
                <w:rFonts w:hint="eastAsia"/>
                <w:sz w:val="24"/>
                <w:szCs w:val="24"/>
              </w:rPr>
              <w:t>評定</w:t>
            </w:r>
          </w:p>
        </w:tc>
        <w:tc>
          <w:tcPr>
            <w:tcW w:w="9923" w:type="dxa"/>
            <w:shd w:val="clear" w:color="auto" w:fill="FFFFFF"/>
            <w:tcMar>
              <w:top w:w="80" w:type="dxa"/>
              <w:left w:w="120" w:type="dxa"/>
              <w:bottom w:w="80" w:type="dxa"/>
              <w:right w:w="120" w:type="dxa"/>
            </w:tcMar>
          </w:tcPr>
          <w:p w:rsidR="00AD5F16" w:rsidRDefault="00AD5F16" w:rsidP="00AD5F16">
            <w:pPr>
              <w:pStyle w:val="a3"/>
              <w:numPr>
                <w:ilvl w:val="0"/>
                <w:numId w:val="7"/>
              </w:numPr>
              <w:rPr>
                <w:sz w:val="24"/>
                <w:szCs w:val="24"/>
              </w:rPr>
            </w:pPr>
            <w:r>
              <w:rPr>
                <w:sz w:val="24"/>
                <w:szCs w:val="24"/>
              </w:rPr>
              <w:t>菲律賓商標評定(或稱商標無效、撤銷註冊)是指任何人認為已註冊的商標損害其權益。或該商標具有法定的無效事由，向菲律賓智慧財產局請求宣告該商標註冊無效的法律制度。</w:t>
            </w:r>
          </w:p>
          <w:p w:rsidR="00AD5F16" w:rsidRDefault="00AD5F16" w:rsidP="00AD5F16">
            <w:pPr>
              <w:pStyle w:val="a3"/>
              <w:numPr>
                <w:ilvl w:val="0"/>
                <w:numId w:val="7"/>
              </w:numPr>
              <w:rPr>
                <w:sz w:val="24"/>
                <w:szCs w:val="24"/>
              </w:rPr>
            </w:pPr>
            <w:r>
              <w:rPr>
                <w:rFonts w:hint="eastAsia"/>
                <w:sz w:val="24"/>
                <w:szCs w:val="24"/>
              </w:rPr>
              <w:t>時間與限制</w:t>
            </w:r>
          </w:p>
          <w:p w:rsidR="00AD5F16" w:rsidRDefault="00AD5F16" w:rsidP="00AD5F16">
            <w:pPr>
              <w:pStyle w:val="a3"/>
              <w:numPr>
                <w:ilvl w:val="0"/>
                <w:numId w:val="8"/>
              </w:numPr>
              <w:rPr>
                <w:sz w:val="24"/>
                <w:szCs w:val="24"/>
              </w:rPr>
            </w:pPr>
            <w:r>
              <w:rPr>
                <w:sz w:val="24"/>
                <w:szCs w:val="24"/>
              </w:rPr>
              <w:t>五年限制:一般情況下，申請人必須在商標註冊日起5年內提出評定請求。</w:t>
            </w:r>
          </w:p>
          <w:p w:rsidR="00AD5F16" w:rsidRDefault="00AD5F16" w:rsidP="00AD5F16">
            <w:pPr>
              <w:pStyle w:val="a3"/>
              <w:numPr>
                <w:ilvl w:val="0"/>
                <w:numId w:val="8"/>
              </w:numPr>
              <w:rPr>
                <w:sz w:val="24"/>
                <w:szCs w:val="24"/>
              </w:rPr>
            </w:pPr>
            <w:r>
              <w:rPr>
                <w:rFonts w:hint="eastAsia"/>
                <w:sz w:val="24"/>
                <w:szCs w:val="24"/>
              </w:rPr>
              <w:t>不受限制:如果商標是透過詐欺手段取得、惡意註冊，或屬於法律絕對禁止註冊的情形，則隨時可以提出評定，不受5年時效的限制。</w:t>
            </w:r>
          </w:p>
          <w:p w:rsidR="00AD5F16" w:rsidRDefault="00AD5F16" w:rsidP="00AD5F16">
            <w:pPr>
              <w:pStyle w:val="a3"/>
              <w:numPr>
                <w:ilvl w:val="0"/>
                <w:numId w:val="9"/>
              </w:numPr>
              <w:rPr>
                <w:sz w:val="24"/>
                <w:szCs w:val="24"/>
              </w:rPr>
            </w:pPr>
            <w:r>
              <w:rPr>
                <w:sz w:val="24"/>
                <w:szCs w:val="24"/>
              </w:rPr>
              <w:t>常見評定理由</w:t>
            </w:r>
          </w:p>
          <w:p w:rsidR="00AD5F16" w:rsidRDefault="00AD5F16" w:rsidP="00AD5F16">
            <w:pPr>
              <w:pStyle w:val="a3"/>
              <w:numPr>
                <w:ilvl w:val="0"/>
                <w:numId w:val="10"/>
              </w:numPr>
              <w:rPr>
                <w:sz w:val="24"/>
                <w:szCs w:val="24"/>
              </w:rPr>
            </w:pPr>
            <w:r>
              <w:rPr>
                <w:sz w:val="24"/>
                <w:szCs w:val="24"/>
              </w:rPr>
              <w:t>損害他人先前已存在的在先權利(如相同或近似商標)。</w:t>
            </w:r>
          </w:p>
          <w:p w:rsidR="00AD5F16" w:rsidRDefault="00AD5F16" w:rsidP="00AD5F16">
            <w:pPr>
              <w:pStyle w:val="a3"/>
              <w:numPr>
                <w:ilvl w:val="0"/>
                <w:numId w:val="10"/>
              </w:numPr>
              <w:rPr>
                <w:sz w:val="24"/>
                <w:szCs w:val="24"/>
              </w:rPr>
            </w:pPr>
            <w:r>
              <w:rPr>
                <w:rFonts w:hint="eastAsia"/>
                <w:sz w:val="24"/>
                <w:szCs w:val="24"/>
              </w:rPr>
              <w:t>商標缺乏顯著性、具欺騙性或違反公共秩序。</w:t>
            </w:r>
          </w:p>
          <w:p w:rsidR="00AD5F16" w:rsidRPr="008400A5" w:rsidRDefault="00AD5F16" w:rsidP="00AD5F16">
            <w:pPr>
              <w:pStyle w:val="a3"/>
              <w:numPr>
                <w:ilvl w:val="0"/>
                <w:numId w:val="10"/>
              </w:numPr>
              <w:rPr>
                <w:sz w:val="24"/>
                <w:szCs w:val="24"/>
              </w:rPr>
            </w:pPr>
            <w:r>
              <w:rPr>
                <w:rFonts w:hint="eastAsia"/>
                <w:sz w:val="24"/>
                <w:szCs w:val="24"/>
              </w:rPr>
              <w:t>商標註冊人非真正所有人(例如惡意搶</w:t>
            </w:r>
            <w:proofErr w:type="gramStart"/>
            <w:r>
              <w:rPr>
                <w:rFonts w:hint="eastAsia"/>
                <w:sz w:val="24"/>
                <w:szCs w:val="24"/>
              </w:rPr>
              <w:t>註</w:t>
            </w:r>
            <w:proofErr w:type="gramEnd"/>
            <w:r>
              <w:rPr>
                <w:rFonts w:hint="eastAsia"/>
                <w:sz w:val="24"/>
                <w:szCs w:val="24"/>
              </w:rPr>
              <w:t>)</w:t>
            </w:r>
          </w:p>
        </w:tc>
      </w:tr>
      <w:tr w:rsidR="00AD5F16" w:rsidRPr="0005644A" w:rsidTr="00061451">
        <w:tc>
          <w:tcPr>
            <w:tcW w:w="1276" w:type="dxa"/>
            <w:vMerge/>
            <w:shd w:val="clear" w:color="auto" w:fill="D6E4F0"/>
            <w:tcMar>
              <w:top w:w="80" w:type="dxa"/>
              <w:left w:w="120" w:type="dxa"/>
              <w:bottom w:w="80" w:type="dxa"/>
              <w:right w:w="120" w:type="dxa"/>
            </w:tcMar>
          </w:tcPr>
          <w:p w:rsidR="00AD5F16" w:rsidRPr="000A765A" w:rsidRDefault="00AD5F16" w:rsidP="00061451">
            <w:pPr>
              <w:rPr>
                <w:sz w:val="24"/>
                <w:szCs w:val="24"/>
              </w:rPr>
            </w:pPr>
          </w:p>
        </w:tc>
        <w:tc>
          <w:tcPr>
            <w:tcW w:w="2835" w:type="dxa"/>
            <w:shd w:val="clear" w:color="auto" w:fill="EBF3FB"/>
          </w:tcPr>
          <w:p w:rsidR="00AD5F16" w:rsidRPr="000A765A" w:rsidRDefault="00AD5F16" w:rsidP="00061451">
            <w:pPr>
              <w:rPr>
                <w:sz w:val="24"/>
                <w:szCs w:val="24"/>
              </w:rPr>
            </w:pPr>
            <w:r w:rsidRPr="000A765A">
              <w:rPr>
                <w:rFonts w:hint="eastAsia"/>
                <w:sz w:val="24"/>
                <w:szCs w:val="24"/>
              </w:rPr>
              <w:t>廢止</w:t>
            </w:r>
          </w:p>
        </w:tc>
        <w:tc>
          <w:tcPr>
            <w:tcW w:w="9923" w:type="dxa"/>
            <w:shd w:val="clear" w:color="auto" w:fill="EBF3FB"/>
            <w:tcMar>
              <w:top w:w="80" w:type="dxa"/>
              <w:left w:w="120" w:type="dxa"/>
              <w:bottom w:w="80" w:type="dxa"/>
              <w:right w:w="120" w:type="dxa"/>
            </w:tcMar>
          </w:tcPr>
          <w:p w:rsidR="00AD5F16" w:rsidRPr="000A765A" w:rsidRDefault="00AD5F16" w:rsidP="00061451">
            <w:pPr>
              <w:rPr>
                <w:sz w:val="24"/>
                <w:szCs w:val="24"/>
              </w:rPr>
            </w:pPr>
            <w:r>
              <w:rPr>
                <w:sz w:val="24"/>
                <w:szCs w:val="24"/>
              </w:rPr>
              <w:t>註冊商標若連續3年不使用，任何人皆可向菲律賓智慧財產局提出商標廢止。</w:t>
            </w:r>
          </w:p>
        </w:tc>
      </w:tr>
    </w:tbl>
    <w:p w:rsidR="00AD5F16" w:rsidRDefault="00AD5F16" w:rsidP="00AD5F16"/>
    <w:p w:rsidR="005B1648" w:rsidRPr="00AD5F16" w:rsidRDefault="005B1648" w:rsidP="00AD5F16"/>
    <w:sectPr w:rsidR="005B1648" w:rsidRPr="00AD5F16" w:rsidSect="00AD5F16">
      <w:pgSz w:w="16838" w:h="11906" w:orient="landscape"/>
      <w:pgMar w:top="1800" w:right="1440" w:bottom="180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7790F"/>
    <w:multiLevelType w:val="hybridMultilevel"/>
    <w:tmpl w:val="FB0A4F78"/>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nsid w:val="13596730"/>
    <w:multiLevelType w:val="hybridMultilevel"/>
    <w:tmpl w:val="F4CCBF14"/>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nsid w:val="17747AEC"/>
    <w:multiLevelType w:val="hybridMultilevel"/>
    <w:tmpl w:val="CCD8FC3A"/>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21A31D06"/>
    <w:multiLevelType w:val="hybridMultilevel"/>
    <w:tmpl w:val="6DE8E78C"/>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nsid w:val="21D04FB3"/>
    <w:multiLevelType w:val="hybridMultilevel"/>
    <w:tmpl w:val="2A2AF7B0"/>
    <w:lvl w:ilvl="0" w:tplc="EA9E7556">
      <w:numFmt w:val="bullet"/>
      <w:lvlText w:val="–"/>
      <w:lvlJc w:val="left"/>
      <w:pPr>
        <w:ind w:left="1075" w:hanging="480"/>
      </w:pPr>
      <w:rPr>
        <w:rFonts w:ascii="標楷體" w:eastAsia="標楷體" w:hAnsi="標楷體" w:cs="標楷體" w:hint="eastAsia"/>
      </w:rPr>
    </w:lvl>
    <w:lvl w:ilvl="1" w:tplc="04090003" w:tentative="1">
      <w:start w:val="1"/>
      <w:numFmt w:val="bullet"/>
      <w:lvlText w:val=""/>
      <w:lvlJc w:val="left"/>
      <w:pPr>
        <w:ind w:left="1555" w:hanging="480"/>
      </w:pPr>
      <w:rPr>
        <w:rFonts w:ascii="Wingdings" w:hAnsi="Wingdings" w:hint="default"/>
      </w:rPr>
    </w:lvl>
    <w:lvl w:ilvl="2" w:tplc="04090005" w:tentative="1">
      <w:start w:val="1"/>
      <w:numFmt w:val="bullet"/>
      <w:lvlText w:val=""/>
      <w:lvlJc w:val="left"/>
      <w:pPr>
        <w:ind w:left="2035" w:hanging="480"/>
      </w:pPr>
      <w:rPr>
        <w:rFonts w:ascii="Wingdings" w:hAnsi="Wingdings" w:hint="default"/>
      </w:rPr>
    </w:lvl>
    <w:lvl w:ilvl="3" w:tplc="04090001" w:tentative="1">
      <w:start w:val="1"/>
      <w:numFmt w:val="bullet"/>
      <w:lvlText w:val=""/>
      <w:lvlJc w:val="left"/>
      <w:pPr>
        <w:ind w:left="2515" w:hanging="480"/>
      </w:pPr>
      <w:rPr>
        <w:rFonts w:ascii="Wingdings" w:hAnsi="Wingdings" w:hint="default"/>
      </w:rPr>
    </w:lvl>
    <w:lvl w:ilvl="4" w:tplc="04090003" w:tentative="1">
      <w:start w:val="1"/>
      <w:numFmt w:val="bullet"/>
      <w:lvlText w:val=""/>
      <w:lvlJc w:val="left"/>
      <w:pPr>
        <w:ind w:left="2995" w:hanging="480"/>
      </w:pPr>
      <w:rPr>
        <w:rFonts w:ascii="Wingdings" w:hAnsi="Wingdings" w:hint="default"/>
      </w:rPr>
    </w:lvl>
    <w:lvl w:ilvl="5" w:tplc="04090005" w:tentative="1">
      <w:start w:val="1"/>
      <w:numFmt w:val="bullet"/>
      <w:lvlText w:val=""/>
      <w:lvlJc w:val="left"/>
      <w:pPr>
        <w:ind w:left="3475" w:hanging="480"/>
      </w:pPr>
      <w:rPr>
        <w:rFonts w:ascii="Wingdings" w:hAnsi="Wingdings" w:hint="default"/>
      </w:rPr>
    </w:lvl>
    <w:lvl w:ilvl="6" w:tplc="04090001" w:tentative="1">
      <w:start w:val="1"/>
      <w:numFmt w:val="bullet"/>
      <w:lvlText w:val=""/>
      <w:lvlJc w:val="left"/>
      <w:pPr>
        <w:ind w:left="3955" w:hanging="480"/>
      </w:pPr>
      <w:rPr>
        <w:rFonts w:ascii="Wingdings" w:hAnsi="Wingdings" w:hint="default"/>
      </w:rPr>
    </w:lvl>
    <w:lvl w:ilvl="7" w:tplc="04090003" w:tentative="1">
      <w:start w:val="1"/>
      <w:numFmt w:val="bullet"/>
      <w:lvlText w:val=""/>
      <w:lvlJc w:val="left"/>
      <w:pPr>
        <w:ind w:left="4435" w:hanging="480"/>
      </w:pPr>
      <w:rPr>
        <w:rFonts w:ascii="Wingdings" w:hAnsi="Wingdings" w:hint="default"/>
      </w:rPr>
    </w:lvl>
    <w:lvl w:ilvl="8" w:tplc="04090005" w:tentative="1">
      <w:start w:val="1"/>
      <w:numFmt w:val="bullet"/>
      <w:lvlText w:val=""/>
      <w:lvlJc w:val="left"/>
      <w:pPr>
        <w:ind w:left="4915" w:hanging="480"/>
      </w:pPr>
      <w:rPr>
        <w:rFonts w:ascii="Wingdings" w:hAnsi="Wingdings" w:hint="default"/>
      </w:rPr>
    </w:lvl>
  </w:abstractNum>
  <w:abstractNum w:abstractNumId="5">
    <w:nsid w:val="35071712"/>
    <w:multiLevelType w:val="hybridMultilevel"/>
    <w:tmpl w:val="61BE1A00"/>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nsid w:val="3D441258"/>
    <w:multiLevelType w:val="hybridMultilevel"/>
    <w:tmpl w:val="CD78F96C"/>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nsid w:val="45C261F0"/>
    <w:multiLevelType w:val="hybridMultilevel"/>
    <w:tmpl w:val="EA960924"/>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nsid w:val="58795366"/>
    <w:multiLevelType w:val="hybridMultilevel"/>
    <w:tmpl w:val="634CDE34"/>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nsid w:val="75A933A9"/>
    <w:multiLevelType w:val="hybridMultilevel"/>
    <w:tmpl w:val="A79C988A"/>
    <w:lvl w:ilvl="0" w:tplc="92B48354">
      <w:numFmt w:val="bullet"/>
      <w:lvlText w:val="•"/>
      <w:lvlJc w:val="left"/>
      <w:pPr>
        <w:ind w:left="632" w:hanging="480"/>
      </w:pPr>
      <w:rPr>
        <w:rFonts w:ascii="標楷體" w:eastAsia="標楷體" w:hAnsi="標楷體" w:cs="標楷體" w:hint="eastAsia"/>
      </w:rPr>
    </w:lvl>
    <w:lvl w:ilvl="1" w:tplc="04090003" w:tentative="1">
      <w:start w:val="1"/>
      <w:numFmt w:val="bullet"/>
      <w:lvlText w:val=""/>
      <w:lvlJc w:val="left"/>
      <w:pPr>
        <w:ind w:left="1075" w:hanging="480"/>
      </w:pPr>
      <w:rPr>
        <w:rFonts w:ascii="Wingdings" w:hAnsi="Wingdings" w:hint="default"/>
      </w:rPr>
    </w:lvl>
    <w:lvl w:ilvl="2" w:tplc="04090005" w:tentative="1">
      <w:start w:val="1"/>
      <w:numFmt w:val="bullet"/>
      <w:lvlText w:val=""/>
      <w:lvlJc w:val="left"/>
      <w:pPr>
        <w:ind w:left="1555" w:hanging="480"/>
      </w:pPr>
      <w:rPr>
        <w:rFonts w:ascii="Wingdings" w:hAnsi="Wingdings" w:hint="default"/>
      </w:rPr>
    </w:lvl>
    <w:lvl w:ilvl="3" w:tplc="04090001" w:tentative="1">
      <w:start w:val="1"/>
      <w:numFmt w:val="bullet"/>
      <w:lvlText w:val=""/>
      <w:lvlJc w:val="left"/>
      <w:pPr>
        <w:ind w:left="2035" w:hanging="480"/>
      </w:pPr>
      <w:rPr>
        <w:rFonts w:ascii="Wingdings" w:hAnsi="Wingdings" w:hint="default"/>
      </w:rPr>
    </w:lvl>
    <w:lvl w:ilvl="4" w:tplc="04090003" w:tentative="1">
      <w:start w:val="1"/>
      <w:numFmt w:val="bullet"/>
      <w:lvlText w:val=""/>
      <w:lvlJc w:val="left"/>
      <w:pPr>
        <w:ind w:left="2515" w:hanging="480"/>
      </w:pPr>
      <w:rPr>
        <w:rFonts w:ascii="Wingdings" w:hAnsi="Wingdings" w:hint="default"/>
      </w:rPr>
    </w:lvl>
    <w:lvl w:ilvl="5" w:tplc="04090005" w:tentative="1">
      <w:start w:val="1"/>
      <w:numFmt w:val="bullet"/>
      <w:lvlText w:val=""/>
      <w:lvlJc w:val="left"/>
      <w:pPr>
        <w:ind w:left="2995" w:hanging="480"/>
      </w:pPr>
      <w:rPr>
        <w:rFonts w:ascii="Wingdings" w:hAnsi="Wingdings" w:hint="default"/>
      </w:rPr>
    </w:lvl>
    <w:lvl w:ilvl="6" w:tplc="04090001" w:tentative="1">
      <w:start w:val="1"/>
      <w:numFmt w:val="bullet"/>
      <w:lvlText w:val=""/>
      <w:lvlJc w:val="left"/>
      <w:pPr>
        <w:ind w:left="3475" w:hanging="480"/>
      </w:pPr>
      <w:rPr>
        <w:rFonts w:ascii="Wingdings" w:hAnsi="Wingdings" w:hint="default"/>
      </w:rPr>
    </w:lvl>
    <w:lvl w:ilvl="7" w:tplc="04090003" w:tentative="1">
      <w:start w:val="1"/>
      <w:numFmt w:val="bullet"/>
      <w:lvlText w:val=""/>
      <w:lvlJc w:val="left"/>
      <w:pPr>
        <w:ind w:left="3955" w:hanging="480"/>
      </w:pPr>
      <w:rPr>
        <w:rFonts w:ascii="Wingdings" w:hAnsi="Wingdings" w:hint="default"/>
      </w:rPr>
    </w:lvl>
    <w:lvl w:ilvl="8" w:tplc="04090005" w:tentative="1">
      <w:start w:val="1"/>
      <w:numFmt w:val="bullet"/>
      <w:lvlText w:val=""/>
      <w:lvlJc w:val="left"/>
      <w:pPr>
        <w:ind w:left="4435" w:hanging="480"/>
      </w:pPr>
      <w:rPr>
        <w:rFonts w:ascii="Wingdings" w:hAnsi="Wingdings" w:hint="default"/>
      </w:rPr>
    </w:lvl>
  </w:abstractNum>
  <w:abstractNum w:abstractNumId="10">
    <w:nsid w:val="79480FD6"/>
    <w:multiLevelType w:val="hybridMultilevel"/>
    <w:tmpl w:val="0FD47324"/>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9"/>
  </w:num>
  <w:num w:numId="2">
    <w:abstractNumId w:val="4"/>
  </w:num>
  <w:num w:numId="3">
    <w:abstractNumId w:val="10"/>
  </w:num>
  <w:num w:numId="4">
    <w:abstractNumId w:val="6"/>
  </w:num>
  <w:num w:numId="5">
    <w:abstractNumId w:val="8"/>
  </w:num>
  <w:num w:numId="6">
    <w:abstractNumId w:val="1"/>
  </w:num>
  <w:num w:numId="7">
    <w:abstractNumId w:val="5"/>
  </w:num>
  <w:num w:numId="8">
    <w:abstractNumId w:val="0"/>
  </w:num>
  <w:num w:numId="9">
    <w:abstractNumId w:val="2"/>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80"/>
  <w:drawingGridHorizontalSpacing w:val="1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F16"/>
    <w:rsid w:val="005B1648"/>
    <w:rsid w:val="00A45C39"/>
    <w:rsid w:val="00AD5F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5F16"/>
    <w:pPr>
      <w:widowControl w:val="0"/>
    </w:pPr>
    <w:rPr>
      <w:rFonts w:ascii="標楷體" w:eastAsia="標楷體" w:hAnsi="標楷體" w:cs="標楷體"/>
      <w:kern w:val="0"/>
      <w:sz w:val="20"/>
      <w:szCs w:val="20"/>
    </w:rPr>
  </w:style>
  <w:style w:type="paragraph" w:styleId="1">
    <w:name w:val="heading 1"/>
    <w:link w:val="10"/>
    <w:qFormat/>
    <w:rsid w:val="00AD5F16"/>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AD5F16"/>
    <w:rPr>
      <w:rFonts w:ascii="標楷體" w:eastAsia="標楷體" w:hAnsi="標楷體" w:cs="標楷體"/>
      <w:b/>
      <w:bCs/>
      <w:kern w:val="0"/>
      <w:sz w:val="36"/>
      <w:szCs w:val="36"/>
    </w:rPr>
  </w:style>
  <w:style w:type="paragraph" w:styleId="a3">
    <w:name w:val="List Paragraph"/>
    <w:qFormat/>
    <w:rsid w:val="00AD5F16"/>
    <w:rPr>
      <w:rFonts w:ascii="標楷體" w:eastAsia="標楷體" w:hAnsi="標楷體" w:cs="標楷體"/>
      <w:kern w:val="0"/>
      <w:sz w:val="20"/>
      <w:szCs w:val="20"/>
    </w:rPr>
  </w:style>
  <w:style w:type="character" w:styleId="a4">
    <w:name w:val="Hyperlink"/>
    <w:uiPriority w:val="99"/>
    <w:unhideWhenUsed/>
    <w:rsid w:val="00AD5F16"/>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5F16"/>
    <w:pPr>
      <w:widowControl w:val="0"/>
    </w:pPr>
    <w:rPr>
      <w:rFonts w:ascii="標楷體" w:eastAsia="標楷體" w:hAnsi="標楷體" w:cs="標楷體"/>
      <w:kern w:val="0"/>
      <w:sz w:val="20"/>
      <w:szCs w:val="20"/>
    </w:rPr>
  </w:style>
  <w:style w:type="paragraph" w:styleId="1">
    <w:name w:val="heading 1"/>
    <w:link w:val="10"/>
    <w:qFormat/>
    <w:rsid w:val="00AD5F16"/>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AD5F16"/>
    <w:rPr>
      <w:rFonts w:ascii="標楷體" w:eastAsia="標楷體" w:hAnsi="標楷體" w:cs="標楷體"/>
      <w:b/>
      <w:bCs/>
      <w:kern w:val="0"/>
      <w:sz w:val="36"/>
      <w:szCs w:val="36"/>
    </w:rPr>
  </w:style>
  <w:style w:type="paragraph" w:styleId="a3">
    <w:name w:val="List Paragraph"/>
    <w:qFormat/>
    <w:rsid w:val="00AD5F16"/>
    <w:rPr>
      <w:rFonts w:ascii="標楷體" w:eastAsia="標楷體" w:hAnsi="標楷體" w:cs="標楷體"/>
      <w:kern w:val="0"/>
      <w:sz w:val="20"/>
      <w:szCs w:val="20"/>
    </w:rPr>
  </w:style>
  <w:style w:type="character" w:styleId="a4">
    <w:name w:val="Hyperlink"/>
    <w:uiPriority w:val="99"/>
    <w:unhideWhenUsed/>
    <w:rsid w:val="00AD5F1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pophil.gov.ph/"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2</cp:revision>
  <dcterms:created xsi:type="dcterms:W3CDTF">2026-08-05T01:58:00Z</dcterms:created>
  <dcterms:modified xsi:type="dcterms:W3CDTF">2026-09-04T05:25:00Z</dcterms:modified>
</cp:coreProperties>
</file>