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53C" w:rsidRPr="001079DB" w:rsidRDefault="006B153C" w:rsidP="006B153C">
      <w:pPr>
        <w:pStyle w:val="1"/>
        <w:spacing w:before="240" w:after="200"/>
      </w:pPr>
      <w:r>
        <w:t>馬來西亞商標</w:t>
      </w:r>
      <w:bookmarkStart w:id="0" w:name="_GoBack"/>
      <w:bookmarkEnd w:id="0"/>
    </w:p>
    <w:p w:rsidR="00487E9D" w:rsidRDefault="006B153C" w:rsidP="006B153C">
      <w:pPr>
        <w:spacing w:before="60" w:after="160"/>
        <w:rPr>
          <w:rFonts w:hint="eastAsia"/>
          <w:sz w:val="18"/>
          <w:szCs w:val="18"/>
        </w:rPr>
      </w:pPr>
      <w:r w:rsidRPr="00773427">
        <w:rPr>
          <w:b/>
          <w:bCs/>
          <w:sz w:val="18"/>
          <w:szCs w:val="18"/>
        </w:rPr>
        <w:t>主管機關：</w:t>
      </w:r>
      <w:r w:rsidRPr="00487E9D">
        <w:rPr>
          <w:rFonts w:hint="eastAsia"/>
          <w:sz w:val="18"/>
          <w:szCs w:val="18"/>
        </w:rPr>
        <w:t>馬來西亞智慧財產局（</w:t>
      </w:r>
      <w:r w:rsidRPr="00487E9D">
        <w:rPr>
          <w:sz w:val="18"/>
          <w:szCs w:val="18"/>
        </w:rPr>
        <w:t>Intellectual Property Corporation of Malaysia</w:t>
      </w:r>
      <w:r w:rsidRPr="00487E9D">
        <w:rPr>
          <w:rFonts w:hint="eastAsia"/>
          <w:sz w:val="18"/>
          <w:szCs w:val="18"/>
        </w:rPr>
        <w:t>，</w:t>
      </w:r>
      <w:proofErr w:type="spellStart"/>
      <w:r w:rsidRPr="00487E9D">
        <w:rPr>
          <w:sz w:val="18"/>
          <w:szCs w:val="18"/>
        </w:rPr>
        <w:t>MyIPO</w:t>
      </w:r>
      <w:proofErr w:type="spellEnd"/>
      <w:r w:rsidRPr="00487E9D">
        <w:rPr>
          <w:sz w:val="18"/>
          <w:szCs w:val="18"/>
        </w:rPr>
        <w:t>）</w:t>
      </w:r>
      <w:r w:rsidR="00487E9D" w:rsidRPr="00487E9D">
        <w:rPr>
          <w:sz w:val="18"/>
          <w:szCs w:val="18"/>
        </w:rPr>
        <w:t>https://iponline2u.myipo.gov.my/</w:t>
      </w:r>
    </w:p>
    <w:p w:rsidR="00487E9D" w:rsidRPr="00487E9D" w:rsidRDefault="00487E9D" w:rsidP="006B153C">
      <w:pPr>
        <w:spacing w:before="60" w:after="160"/>
        <w:rPr>
          <w:sz w:val="18"/>
          <w:szCs w:val="18"/>
        </w:rPr>
      </w:pPr>
    </w:p>
    <w:tbl>
      <w:tblPr>
        <w:tblW w:w="14175" w:type="dxa"/>
        <w:tblInd w:w="1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10206"/>
      </w:tblGrid>
      <w:tr w:rsidR="006B153C" w:rsidRPr="000A765A" w:rsidTr="0006145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B153C" w:rsidRPr="000A765A" w:rsidRDefault="006B153C" w:rsidP="00061451">
            <w:pPr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693" w:type="dxa"/>
            <w:shd w:val="clear" w:color="auto" w:fill="1F4E79"/>
          </w:tcPr>
          <w:p w:rsidR="006B153C" w:rsidRPr="000A765A" w:rsidRDefault="006B153C" w:rsidP="0006145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020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B153C" w:rsidRPr="000A765A" w:rsidRDefault="006B153C" w:rsidP="00061451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6B153C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1.必須具備識別性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E372A1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商標的首要目的在於作為商品或服務的「來源標誌」。</w:t>
            </w:r>
            <w:r w:rsidRPr="00CB42B8">
              <w:rPr>
                <w:sz w:val="24"/>
                <w:szCs w:val="24"/>
              </w:rPr>
              <w:t>必須能夠讓消費者在市場上將品牌與競爭對手區分開來。如果只是單純描述產品成分、品質或產地字詞，通常會因為缺乏識別性被拒絕註冊。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2.可透過圖形化呈現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商標必須能夠在申請文件中以圖形、文字或視覺方式清楚且明確呈現。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3.優先權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CB42B8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若該商標已在台灣或其他WTO會員國第一次提出申請，可在6個月內向馬來西亞主張優先權。</w:t>
            </w:r>
          </w:p>
        </w:tc>
      </w:tr>
      <w:tr w:rsidR="006B153C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</w:t>
            </w:r>
            <w:r w:rsidRPr="000A765A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</w:t>
            </w:r>
            <w:r w:rsidRPr="000A765A">
              <w:rPr>
                <w:sz w:val="24"/>
                <w:szCs w:val="24"/>
              </w:rPr>
              <w:t>提交前先於</w:t>
            </w:r>
            <w:proofErr w:type="spellStart"/>
            <w:r w:rsidRPr="00AF4B42">
              <w:rPr>
                <w:sz w:val="24"/>
                <w:szCs w:val="24"/>
              </w:rPr>
              <w:t>MyIPO</w:t>
            </w:r>
            <w:proofErr w:type="spellEnd"/>
            <w:r w:rsidRPr="000A765A">
              <w:rPr>
                <w:rFonts w:hint="eastAsia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6B153C" w:rsidRPr="000A765A" w:rsidTr="00061451">
        <w:trPr>
          <w:trHeight w:val="188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2.提交申請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</w:t>
            </w:r>
            <w:r>
              <w:rPr>
                <w:sz w:val="24"/>
                <w:szCs w:val="24"/>
              </w:rPr>
              <w:t>，由當地代理人向</w:t>
            </w:r>
            <w:proofErr w:type="spellStart"/>
            <w:r w:rsidRPr="00AF4B42">
              <w:rPr>
                <w:sz w:val="24"/>
                <w:szCs w:val="24"/>
              </w:rPr>
              <w:t>MyIPO</w:t>
            </w:r>
            <w:proofErr w:type="spellEnd"/>
            <w:r>
              <w:rPr>
                <w:sz w:val="24"/>
                <w:szCs w:val="24"/>
              </w:rPr>
              <w:t>遞交</w:t>
            </w:r>
            <w:r w:rsidRPr="000A765A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3.官方審查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包含形式審查(文件格式)</w:t>
            </w:r>
            <w:r w:rsidRPr="000A765A">
              <w:rPr>
                <w:rFonts w:hint="eastAsia"/>
                <w:sz w:val="24"/>
                <w:szCs w:val="24"/>
              </w:rPr>
              <w:t>與實質審查(是否具備顯著性、是否與他案衝突)。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4.公告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審核通過會進入官方公告期，為期2個月，在此期間內任何人皆可提出異議。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5.核准發證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公告期滿無人異議，</w:t>
            </w:r>
            <w:r>
              <w:rPr>
                <w:sz w:val="24"/>
                <w:szCs w:val="24"/>
              </w:rPr>
              <w:t>或</w:t>
            </w:r>
            <w:r w:rsidRPr="000A765A">
              <w:rPr>
                <w:sz w:val="24"/>
                <w:szCs w:val="24"/>
              </w:rPr>
              <w:t>異議不成立，</w:t>
            </w:r>
            <w:r>
              <w:rPr>
                <w:sz w:val="24"/>
                <w:szCs w:val="24"/>
              </w:rPr>
              <w:t>並核</w:t>
            </w:r>
            <w:r w:rsidRPr="000A765A">
              <w:rPr>
                <w:sz w:val="24"/>
                <w:szCs w:val="24"/>
              </w:rPr>
              <w:t>發商標註冊證。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審查期間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商標審查時間:大約8-24個月。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A.</w:t>
            </w:r>
            <w:r w:rsidRPr="000A765A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申請</w:t>
            </w:r>
            <w:r w:rsidRPr="000A765A">
              <w:rPr>
                <w:sz w:val="24"/>
                <w:szCs w:val="24"/>
              </w:rPr>
              <w:t>日起10年屆滿。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屆滿後每次可延展10年，延展應於屆滿前</w:t>
            </w:r>
            <w:r>
              <w:rPr>
                <w:sz w:val="24"/>
                <w:szCs w:val="24"/>
              </w:rPr>
              <w:t xml:space="preserve">6 </w:t>
            </w:r>
            <w:proofErr w:type="gramStart"/>
            <w:r w:rsidRPr="000A765A">
              <w:rPr>
                <w:sz w:val="24"/>
                <w:szCs w:val="24"/>
              </w:rPr>
              <w:t>個</w:t>
            </w:r>
            <w:proofErr w:type="gramEnd"/>
            <w:r w:rsidRPr="000A765A">
              <w:rPr>
                <w:sz w:val="24"/>
                <w:szCs w:val="24"/>
              </w:rPr>
              <w:t>月提出，得無限次延展。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10年期間屆滿</w:t>
            </w:r>
            <w:proofErr w:type="gramStart"/>
            <w:r w:rsidRPr="000A765A">
              <w:rPr>
                <w:sz w:val="24"/>
                <w:szCs w:val="24"/>
              </w:rPr>
              <w:t>後</w:t>
            </w:r>
            <w:r>
              <w:rPr>
                <w:sz w:val="24"/>
                <w:szCs w:val="24"/>
              </w:rPr>
              <w:t>6</w:t>
            </w:r>
            <w:r w:rsidRPr="000A765A">
              <w:rPr>
                <w:sz w:val="24"/>
                <w:szCs w:val="24"/>
              </w:rPr>
              <w:t>月</w:t>
            </w:r>
            <w:proofErr w:type="gramEnd"/>
            <w:r w:rsidRPr="000A765A">
              <w:rPr>
                <w:sz w:val="24"/>
                <w:szCs w:val="24"/>
              </w:rPr>
              <w:t>內為延展寬限期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需增加規費</w:t>
            </w:r>
            <w:r w:rsidRPr="000A765A">
              <w:rPr>
                <w:sz w:val="24"/>
                <w:szCs w:val="24"/>
              </w:rPr>
              <w:t>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延展不須提供使用證據。</w:t>
            </w:r>
          </w:p>
        </w:tc>
      </w:tr>
      <w:tr w:rsidR="006B153C" w:rsidRPr="000A765A" w:rsidTr="00061451">
        <w:trPr>
          <w:trHeight w:val="287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sz w:val="24"/>
                <w:szCs w:val="24"/>
              </w:rPr>
            </w:pPr>
            <w:r w:rsidRPr="000A765A">
              <w:rPr>
                <w:rFonts w:hint="eastAsia"/>
                <w:b/>
                <w:sz w:val="24"/>
                <w:szCs w:val="24"/>
              </w:rPr>
              <w:lastRenderedPageBreak/>
              <w:t>商標爭議救濟</w:t>
            </w:r>
          </w:p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異議</w:t>
            </w:r>
          </w:p>
        </w:tc>
        <w:tc>
          <w:tcPr>
            <w:tcW w:w="1020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商標經</w:t>
            </w:r>
            <w:proofErr w:type="spellStart"/>
            <w:r w:rsidRPr="00AF4B42">
              <w:rPr>
                <w:sz w:val="24"/>
                <w:szCs w:val="24"/>
              </w:rPr>
              <w:t>MyIPO</w:t>
            </w:r>
            <w:proofErr w:type="spellEnd"/>
            <w:r>
              <w:rPr>
                <w:sz w:val="24"/>
                <w:szCs w:val="24"/>
              </w:rPr>
              <w:t>實體審查核准並進入公告期，任何人可在公告後2個月內提出異議。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提出期限:自商標公告日起2個月內必須提出，此期限通常無法延長。</w:t>
            </w:r>
          </w:p>
          <w:p w:rsidR="006B153C" w:rsidRPr="00C87D32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常見異議理由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在先商標衝突:與已註冊或先申請的商標相同或高度近似，容易造成消費者混淆。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:申請人明知該商標屬於他人，卻惡意在馬來西亞搶先登記。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缺乏顯著性:商標僅由行業通用名稱、說明性詞彙(如直接描述產品功能、品質)組成。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侵害他在先權利:侵害他人商號權(公司名稱)、著作權、外觀設計或知名人士姓名權。</w:t>
            </w:r>
          </w:p>
          <w:p w:rsidR="006B153C" w:rsidRPr="00AD2DB2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不良影響:商標內容違反公共秩序、道德倫理，或帶有欺騙性、宗教敏感性。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評定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商標評定是指受侵害之人或利害關係人，在商標註冊後依法向官方或法院提出申請，請求宣告該註冊商標無效的法律程序。</w:t>
            </w:r>
          </w:p>
          <w:p w:rsidR="006B153C" w:rsidRPr="009A4322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評定</w:t>
            </w:r>
            <w:r w:rsidRPr="009A4322">
              <w:rPr>
                <w:rFonts w:hint="eastAsia"/>
                <w:sz w:val="24"/>
                <w:szCs w:val="24"/>
              </w:rPr>
              <w:t>理由主要分為「絕對</w:t>
            </w:r>
            <w:r>
              <w:rPr>
                <w:rFonts w:hint="eastAsia"/>
                <w:sz w:val="24"/>
                <w:szCs w:val="24"/>
              </w:rPr>
              <w:t>不得註冊</w:t>
            </w:r>
            <w:r w:rsidRPr="009A4322">
              <w:rPr>
                <w:rFonts w:hint="eastAsia"/>
                <w:sz w:val="24"/>
                <w:szCs w:val="24"/>
              </w:rPr>
              <w:t>事由」與「相對</w:t>
            </w:r>
            <w:r>
              <w:rPr>
                <w:rFonts w:hint="eastAsia"/>
                <w:sz w:val="24"/>
                <w:szCs w:val="24"/>
              </w:rPr>
              <w:t>不得註冊</w:t>
            </w:r>
            <w:r w:rsidRPr="009A4322">
              <w:rPr>
                <w:rFonts w:hint="eastAsia"/>
                <w:sz w:val="24"/>
                <w:szCs w:val="24"/>
              </w:rPr>
              <w:t>事由」兩大類:</w:t>
            </w:r>
          </w:p>
          <w:p w:rsidR="006B153C" w:rsidRPr="009A4322" w:rsidRDefault="006B153C" w:rsidP="006B153C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A4322">
              <w:rPr>
                <w:rFonts w:hint="eastAsia"/>
                <w:sz w:val="24"/>
                <w:szCs w:val="24"/>
              </w:rPr>
              <w:t>絕對</w:t>
            </w:r>
            <w:r>
              <w:rPr>
                <w:rFonts w:hint="eastAsia"/>
                <w:sz w:val="24"/>
                <w:szCs w:val="24"/>
              </w:rPr>
              <w:t>不得註冊</w:t>
            </w:r>
            <w:r w:rsidRPr="009A4322">
              <w:rPr>
                <w:rFonts w:hint="eastAsia"/>
                <w:sz w:val="24"/>
                <w:szCs w:val="24"/>
              </w:rPr>
              <w:t>事由</w:t>
            </w:r>
          </w:p>
          <w:p w:rsidR="006B153C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87D32">
              <w:rPr>
                <w:sz w:val="24"/>
                <w:szCs w:val="24"/>
              </w:rPr>
              <w:t>缺乏顯著性</w:t>
            </w:r>
          </w:p>
          <w:p w:rsidR="006B153C" w:rsidRPr="00C87D32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87D32">
              <w:rPr>
                <w:rFonts w:hint="eastAsia"/>
                <w:sz w:val="24"/>
                <w:szCs w:val="24"/>
              </w:rPr>
              <w:t>違反公序良俗</w:t>
            </w:r>
          </w:p>
          <w:p w:rsidR="006B153C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誤導大眾</w:t>
            </w:r>
          </w:p>
          <w:p w:rsidR="006B153C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法定禁用標誌</w:t>
            </w:r>
            <w:r>
              <w:rPr>
                <w:sz w:val="24"/>
                <w:szCs w:val="24"/>
              </w:rPr>
              <w:t xml:space="preserve"> </w:t>
            </w:r>
          </w:p>
          <w:p w:rsidR="006B153C" w:rsidRPr="00C87D32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87D32">
              <w:rPr>
                <w:rFonts w:hint="eastAsia"/>
                <w:sz w:val="24"/>
                <w:szCs w:val="24"/>
              </w:rPr>
              <w:t>禁止使用的字眼</w:t>
            </w:r>
          </w:p>
          <w:p w:rsidR="006B153C" w:rsidRPr="00C87D32" w:rsidRDefault="006B153C" w:rsidP="006B153C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C87D32">
              <w:rPr>
                <w:rFonts w:hint="eastAsia"/>
                <w:sz w:val="24"/>
                <w:szCs w:val="24"/>
              </w:rPr>
              <w:t>相對不得註冊事由(與他人在先權利衝突)</w:t>
            </w:r>
          </w:p>
          <w:p w:rsidR="006B153C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與在先商標衝突:商標與他人在馬來西亞已註冊或申請中商標相同或高度近似，使用在相同或類似商品上，容易導致消費者混淆誤認。</w:t>
            </w:r>
          </w:p>
          <w:p w:rsidR="006B153C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侵犯其他在先權利:商標侵犯第三人著作權、外觀設計專利權；姓名權或商號(公司)名稱。</w:t>
            </w:r>
          </w:p>
          <w:p w:rsidR="006B153C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:代理人或代表人未經商標真正所有人的授權，擅以自己的名義註冊該商標。</w:t>
            </w:r>
          </w:p>
          <w:p w:rsidR="006B153C" w:rsidRPr="00775F33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馳名商標保護:即使商標或服務類別不同，若該商標與馬來西亞或國際馳名商標高度近似，可能減損馳名商標識別性或聲譽，則不得註冊。</w:t>
            </w:r>
          </w:p>
        </w:tc>
      </w:tr>
      <w:tr w:rsidR="006B153C" w:rsidRPr="0005644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廢止</w:t>
            </w:r>
          </w:p>
        </w:tc>
        <w:tc>
          <w:tcPr>
            <w:tcW w:w="1020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註冊商標若連續3年不使用，任何利害關係人均可提出廢止申請。</w:t>
            </w:r>
          </w:p>
        </w:tc>
      </w:tr>
    </w:tbl>
    <w:p w:rsidR="005B1648" w:rsidRPr="006B153C" w:rsidRDefault="005B1648" w:rsidP="006B153C"/>
    <w:sectPr w:rsidR="005B1648" w:rsidRPr="006B153C" w:rsidSect="002F5A42">
      <w:headerReference w:type="default" r:id="rId8"/>
      <w:footerReference w:type="default" r:id="rId9"/>
      <w:pgSz w:w="16838" w:h="11906" w:orient="landscape"/>
      <w:pgMar w:top="1080" w:right="1440" w:bottom="108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DFD" w:rsidRDefault="00A56DFD" w:rsidP="006B153C">
      <w:r>
        <w:separator/>
      </w:r>
    </w:p>
  </w:endnote>
  <w:endnote w:type="continuationSeparator" w:id="0">
    <w:p w:rsidR="00A56DFD" w:rsidRDefault="00A56DFD" w:rsidP="006B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7041736"/>
      <w:docPartObj>
        <w:docPartGallery w:val="Page Numbers (Bottom of Page)"/>
        <w:docPartUnique/>
      </w:docPartObj>
    </w:sdtPr>
    <w:sdtEndPr/>
    <w:sdtContent>
      <w:p w:rsidR="002F5A42" w:rsidRDefault="00A56DF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7E9D" w:rsidRPr="00487E9D">
          <w:rPr>
            <w:noProof/>
            <w:lang w:val="zh-TW"/>
          </w:rPr>
          <w:t>2</w:t>
        </w:r>
        <w:r>
          <w:fldChar w:fldCharType="end"/>
        </w:r>
      </w:p>
    </w:sdtContent>
  </w:sdt>
  <w:p w:rsidR="009464A0" w:rsidRPr="00604770" w:rsidRDefault="00487E9D" w:rsidP="00604770">
    <w:pPr>
      <w:spacing w:before="120"/>
      <w:rPr>
        <w:rFonts w:eastAsiaTheme="minor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DFD" w:rsidRDefault="00A56DFD" w:rsidP="006B153C">
      <w:r>
        <w:separator/>
      </w:r>
    </w:p>
  </w:footnote>
  <w:footnote w:type="continuationSeparator" w:id="0">
    <w:p w:rsidR="00A56DFD" w:rsidRDefault="00A56DFD" w:rsidP="006B15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4A0" w:rsidRDefault="00487E9D" w:rsidP="00604770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76C63"/>
    <w:multiLevelType w:val="hybridMultilevel"/>
    <w:tmpl w:val="DFDC7F56"/>
    <w:lvl w:ilvl="0" w:tplc="EA9E7556">
      <w:numFmt w:val="bullet"/>
      <w:lvlText w:val="–"/>
      <w:lvlJc w:val="left"/>
      <w:pPr>
        <w:ind w:left="144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48FA54BF"/>
    <w:multiLevelType w:val="hybridMultilevel"/>
    <w:tmpl w:val="B412AE52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4FC919BE"/>
    <w:multiLevelType w:val="hybridMultilevel"/>
    <w:tmpl w:val="7DA48B0E"/>
    <w:lvl w:ilvl="0" w:tplc="EA9E7556">
      <w:numFmt w:val="bullet"/>
      <w:lvlText w:val="–"/>
      <w:lvlJc w:val="left"/>
      <w:pPr>
        <w:ind w:left="144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>
    <w:nsid w:val="6265004D"/>
    <w:multiLevelType w:val="hybridMultilevel"/>
    <w:tmpl w:val="EE0009CC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1F6"/>
    <w:rsid w:val="00487E9D"/>
    <w:rsid w:val="005B1648"/>
    <w:rsid w:val="006B153C"/>
    <w:rsid w:val="00A56DFD"/>
    <w:rsid w:val="00EE05AC"/>
    <w:rsid w:val="00F2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1F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F271F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F271F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F271F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F271F6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EE05A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1F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F271F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F271F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F271F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F271F6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EE05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4</cp:revision>
  <dcterms:created xsi:type="dcterms:W3CDTF">2026-08-05T02:00:00Z</dcterms:created>
  <dcterms:modified xsi:type="dcterms:W3CDTF">2026-09-04T06:08:00Z</dcterms:modified>
</cp:coreProperties>
</file>