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7EFB" w:rsidRPr="00327D7E" w:rsidRDefault="00B67EFB" w:rsidP="00221986">
      <w:pPr>
        <w:jc w:val="center"/>
        <w:rPr>
          <w:sz w:val="20"/>
          <w:szCs w:val="20"/>
        </w:rPr>
      </w:pPr>
      <w:r w:rsidRPr="00327D7E">
        <w:rPr>
          <w:sz w:val="20"/>
          <w:szCs w:val="20"/>
        </w:rPr>
        <w:t>加拿大</w:t>
      </w:r>
      <w:r w:rsidR="00536559">
        <w:rPr>
          <w:rFonts w:hint="eastAsia"/>
          <w:sz w:val="20"/>
          <w:szCs w:val="20"/>
        </w:rPr>
        <w:t>專利</w:t>
      </w:r>
    </w:p>
    <w:p w:rsidR="00C30657" w:rsidRPr="00953015" w:rsidRDefault="00BB209B" w:rsidP="00953015">
      <w:pPr>
        <w:jc w:val="center"/>
        <w:rPr>
          <w:sz w:val="20"/>
          <w:szCs w:val="20"/>
        </w:rPr>
      </w:pPr>
      <w:r>
        <w:t>CIPO</w:t>
      </w:r>
      <w:r w:rsidR="00221986" w:rsidRPr="00327D7E">
        <w:rPr>
          <w:rFonts w:hint="eastAsia"/>
          <w:sz w:val="20"/>
          <w:szCs w:val="20"/>
        </w:rPr>
        <w:t>網址：</w:t>
      </w:r>
      <w:hyperlink r:id="rId7" w:history="1">
        <w:r w:rsidR="00C30657" w:rsidRPr="00D94318">
          <w:rPr>
            <w:rStyle w:val="a6"/>
          </w:rPr>
          <w:t>https://ised-isde.canada.ca/site/canadian-intellectual-property-office/en</w:t>
        </w:r>
      </w:hyperlink>
      <w:bookmarkStart w:id="0" w:name="_GoBack"/>
      <w:bookmarkEnd w:id="0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16"/>
        <w:gridCol w:w="10182"/>
      </w:tblGrid>
      <w:tr w:rsidR="00221986" w:rsidRPr="00327D7E" w:rsidTr="0038473A">
        <w:tc>
          <w:tcPr>
            <w:tcW w:w="416" w:type="dxa"/>
            <w:vAlign w:val="center"/>
          </w:tcPr>
          <w:p w:rsidR="00221986" w:rsidRPr="00327D7E" w:rsidRDefault="00221986" w:rsidP="0038473A">
            <w:pPr>
              <w:jc w:val="center"/>
              <w:rPr>
                <w:sz w:val="20"/>
                <w:szCs w:val="20"/>
              </w:rPr>
            </w:pPr>
            <w:r w:rsidRPr="00327D7E">
              <w:rPr>
                <w:rFonts w:hint="eastAsia"/>
                <w:sz w:val="20"/>
                <w:szCs w:val="20"/>
              </w:rPr>
              <w:t>專利種類</w:t>
            </w:r>
          </w:p>
        </w:tc>
        <w:tc>
          <w:tcPr>
            <w:tcW w:w="1018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91"/>
              <w:gridCol w:w="2492"/>
              <w:gridCol w:w="2491"/>
              <w:gridCol w:w="2492"/>
            </w:tblGrid>
            <w:tr w:rsidR="00B67EFB" w:rsidRPr="00327D7E" w:rsidTr="00B67EFB">
              <w:trPr>
                <w:tblCellSpacing w:w="15" w:type="dxa"/>
              </w:trPr>
              <w:tc>
                <w:tcPr>
                  <w:tcW w:w="2446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B67EFB" w:rsidRPr="00B67EFB" w:rsidRDefault="00B67EFB" w:rsidP="00B67EFB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B67EFB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專利</w:t>
                  </w:r>
                  <w:r w:rsidRPr="00B67EFB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/</w:t>
                  </w:r>
                  <w:r w:rsidRPr="00B67EFB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保護種類</w:t>
                  </w:r>
                </w:p>
              </w:tc>
              <w:tc>
                <w:tcPr>
                  <w:tcW w:w="2462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B67EFB" w:rsidRPr="00B67EFB" w:rsidRDefault="00B67EFB" w:rsidP="00B67EFB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B67EFB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保護年限（自申請日起算）</w:t>
                  </w:r>
                </w:p>
              </w:tc>
              <w:tc>
                <w:tcPr>
                  <w:tcW w:w="2461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B67EFB" w:rsidRPr="00B67EFB" w:rsidRDefault="00B67EFB" w:rsidP="00B67EFB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B67EFB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審查制度</w:t>
                  </w:r>
                </w:p>
              </w:tc>
              <w:tc>
                <w:tcPr>
                  <w:tcW w:w="2447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B67EFB" w:rsidRPr="00B67EFB" w:rsidRDefault="00B67EFB" w:rsidP="00B67EFB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B67EFB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核心保護標的</w:t>
                  </w:r>
                </w:p>
              </w:tc>
            </w:tr>
            <w:tr w:rsidR="00B67EFB" w:rsidRPr="00327D7E" w:rsidTr="00B67EFB">
              <w:trPr>
                <w:tblCellSpacing w:w="15" w:type="dxa"/>
              </w:trPr>
              <w:tc>
                <w:tcPr>
                  <w:tcW w:w="2446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B67EFB" w:rsidRPr="00B67EFB" w:rsidRDefault="00B67EFB" w:rsidP="00B67EFB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發明專利</w:t>
                  </w:r>
                </w:p>
              </w:tc>
              <w:tc>
                <w:tcPr>
                  <w:tcW w:w="2462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B67EFB" w:rsidRPr="00B67EFB" w:rsidRDefault="00B67EFB" w:rsidP="00B67EFB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20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年</w:t>
                  </w:r>
                </w:p>
              </w:tc>
              <w:tc>
                <w:tcPr>
                  <w:tcW w:w="2461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B67EFB" w:rsidRPr="00B67EFB" w:rsidRDefault="00B67EFB" w:rsidP="00B67EFB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全面實體審查制</w:t>
                  </w:r>
                  <w:r w:rsidRPr="00B67EFB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（須主動提審查請求）</w:t>
                  </w:r>
                </w:p>
              </w:tc>
              <w:tc>
                <w:tcPr>
                  <w:tcW w:w="2447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B67EFB" w:rsidRPr="00B67EFB" w:rsidRDefault="00B67EFB" w:rsidP="00B67EFB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B67EFB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具備新穎性、進步性與產業利用性的全新且實用的藝術、工藝、機器、製造品或物質組成。</w:t>
                  </w:r>
                </w:p>
              </w:tc>
            </w:tr>
            <w:tr w:rsidR="00B67EFB" w:rsidRPr="00327D7E" w:rsidTr="00B67EFB">
              <w:trPr>
                <w:tblCellSpacing w:w="15" w:type="dxa"/>
              </w:trPr>
              <w:tc>
                <w:tcPr>
                  <w:tcW w:w="2446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B67EFB" w:rsidRPr="00B67EFB" w:rsidRDefault="00B67EFB" w:rsidP="00B67EFB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新型專利</w:t>
                  </w:r>
                </w:p>
              </w:tc>
              <w:tc>
                <w:tcPr>
                  <w:tcW w:w="2462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B67EFB" w:rsidRPr="00B67EFB" w:rsidRDefault="00B67EFB" w:rsidP="00B67EFB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B67EFB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—</w:t>
                  </w:r>
                </w:p>
              </w:tc>
              <w:tc>
                <w:tcPr>
                  <w:tcW w:w="2461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B67EFB" w:rsidRPr="00B67EFB" w:rsidRDefault="00B67EFB" w:rsidP="00B67EFB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B67EFB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—</w:t>
                  </w:r>
                </w:p>
              </w:tc>
              <w:tc>
                <w:tcPr>
                  <w:tcW w:w="2447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B67EFB" w:rsidRPr="00B67EFB" w:rsidRDefault="00B67EFB" w:rsidP="00B67EFB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B67EFB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加拿大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不設新型專利制度</w:t>
                  </w:r>
                  <w:r w:rsidRPr="00B67EFB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。</w:t>
                  </w:r>
                </w:p>
              </w:tc>
            </w:tr>
            <w:tr w:rsidR="00B67EFB" w:rsidRPr="00327D7E" w:rsidTr="00B67EFB">
              <w:trPr>
                <w:tblCellSpacing w:w="15" w:type="dxa"/>
              </w:trPr>
              <w:tc>
                <w:tcPr>
                  <w:tcW w:w="2446" w:type="dxa"/>
                  <w:tcBorders>
                    <w:bottom w:val="nil"/>
                  </w:tcBorders>
                  <w:vAlign w:val="center"/>
                  <w:hideMark/>
                </w:tcPr>
                <w:p w:rsidR="00B67EFB" w:rsidRPr="00B67EFB" w:rsidRDefault="00B67EFB" w:rsidP="00B67EFB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工業設計</w:t>
                  </w:r>
                  <w:r w:rsidRPr="00B67EFB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br/>
                  </w:r>
                  <w:r w:rsidRPr="00327D7E">
                    <w:rPr>
                      <w:rFonts w:ascii="Arial" w:eastAsia="新細明體" w:hAnsi="Arial" w:cs="Arial"/>
                      <w:i/>
                      <w:iCs/>
                      <w:kern w:val="0"/>
                      <w:sz w:val="20"/>
                      <w:szCs w:val="20"/>
                    </w:rPr>
                    <w:t>(</w:t>
                  </w:r>
                  <w:r w:rsidRPr="00327D7E">
                    <w:rPr>
                      <w:rFonts w:ascii="Arial" w:eastAsia="新細明體" w:hAnsi="Arial" w:cs="Arial"/>
                      <w:i/>
                      <w:iCs/>
                      <w:kern w:val="0"/>
                      <w:sz w:val="20"/>
                      <w:szCs w:val="20"/>
                    </w:rPr>
                    <w:t>即設計專利</w:t>
                  </w:r>
                  <w:r w:rsidRPr="00327D7E">
                    <w:rPr>
                      <w:rFonts w:ascii="Arial" w:eastAsia="新細明體" w:hAnsi="Arial" w:cs="Arial"/>
                      <w:i/>
                      <w:iCs/>
                      <w:kern w:val="0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2462" w:type="dxa"/>
                  <w:tcBorders>
                    <w:bottom w:val="nil"/>
                  </w:tcBorders>
                  <w:vAlign w:val="center"/>
                  <w:hideMark/>
                </w:tcPr>
                <w:p w:rsidR="00B67EFB" w:rsidRPr="00B67EFB" w:rsidRDefault="00B67EFB" w:rsidP="00B67EFB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10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年</w:t>
                  </w:r>
                  <w:r w:rsidRPr="00B67EFB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（若於核准後續繳年費，最長為自申請日起算</w:t>
                  </w:r>
                  <w:r w:rsidRPr="00B67EFB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 xml:space="preserve">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15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年</w:t>
                  </w:r>
                  <w:r w:rsidRPr="00B67EFB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）</w:t>
                  </w:r>
                </w:p>
              </w:tc>
              <w:tc>
                <w:tcPr>
                  <w:tcW w:w="2461" w:type="dxa"/>
                  <w:tcBorders>
                    <w:bottom w:val="nil"/>
                  </w:tcBorders>
                  <w:vAlign w:val="center"/>
                  <w:hideMark/>
                </w:tcPr>
                <w:p w:rsidR="00B67EFB" w:rsidRPr="00B67EFB" w:rsidRDefault="00B67EFB" w:rsidP="00B67EFB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實體審查制</w:t>
                  </w:r>
                  <w:r w:rsidRPr="00B67EFB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（審查新穎性）</w:t>
                  </w:r>
                </w:p>
              </w:tc>
              <w:tc>
                <w:tcPr>
                  <w:tcW w:w="2447" w:type="dxa"/>
                  <w:tcBorders>
                    <w:bottom w:val="nil"/>
                  </w:tcBorders>
                  <w:vAlign w:val="center"/>
                  <w:hideMark/>
                </w:tcPr>
                <w:p w:rsidR="00B67EFB" w:rsidRPr="00B67EFB" w:rsidRDefault="00B67EFB" w:rsidP="00B67EFB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B67EFB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應用於成品上，由形狀、配置、圖案或裝飾組成的創新視覺特徵（含數位產品</w:t>
                  </w:r>
                  <w:r w:rsidRPr="00B67EFB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 xml:space="preserve"> GUI</w:t>
                  </w:r>
                  <w:r w:rsidRPr="00B67EFB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）。</w:t>
                  </w:r>
                </w:p>
              </w:tc>
            </w:tr>
          </w:tbl>
          <w:p w:rsidR="00221986" w:rsidRPr="00327D7E" w:rsidRDefault="00221986" w:rsidP="00B67EFB">
            <w:pPr>
              <w:widowControl/>
              <w:spacing w:before="480" w:after="480"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</w:p>
        </w:tc>
      </w:tr>
      <w:tr w:rsidR="00221986" w:rsidRPr="00327D7E" w:rsidTr="0038473A">
        <w:tc>
          <w:tcPr>
            <w:tcW w:w="416" w:type="dxa"/>
            <w:vAlign w:val="center"/>
          </w:tcPr>
          <w:p w:rsidR="00221986" w:rsidRPr="00327D7E" w:rsidRDefault="00221986" w:rsidP="0038473A">
            <w:pPr>
              <w:jc w:val="center"/>
              <w:rPr>
                <w:sz w:val="20"/>
                <w:szCs w:val="20"/>
              </w:rPr>
            </w:pPr>
            <w:r w:rsidRPr="00327D7E">
              <w:rPr>
                <w:rFonts w:hint="eastAsia"/>
                <w:sz w:val="20"/>
                <w:szCs w:val="20"/>
              </w:rPr>
              <w:t>申請要點</w:t>
            </w:r>
          </w:p>
        </w:tc>
        <w:tc>
          <w:tcPr>
            <w:tcW w:w="10182" w:type="dxa"/>
          </w:tcPr>
          <w:p w:rsidR="00B67EFB" w:rsidRPr="00B67EFB" w:rsidRDefault="00B67EFB" w:rsidP="00B67052">
            <w:pPr>
              <w:widowControl/>
              <w:numPr>
                <w:ilvl w:val="0"/>
                <w:numId w:val="37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超額權利要求費與限縮（最新規範）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：加拿大已全面實施超額權利要求費（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Excess Claim Fees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）機制。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凡是超過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 20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項的權利要求，在提出實體審查以及最後核准發證時，皆會被按件加收高額官方規費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。這促使跨國申請人必須在提審前大幅精簡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Claim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數量。</w:t>
            </w:r>
          </w:p>
          <w:p w:rsidR="00B67EFB" w:rsidRPr="00B67EFB" w:rsidRDefault="00B67EFB" w:rsidP="00B67052">
            <w:pPr>
              <w:widowControl/>
              <w:numPr>
                <w:ilvl w:val="0"/>
                <w:numId w:val="37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縮短主動提審時限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：為加快整體審查進度，加拿大將主動提交「實體審查請求（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Examination Request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）」的法定期限，由原先的申請日起算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5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年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大幅縮短為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 3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年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PCT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案件則自國際申請日起算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3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年）。若未在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3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年內提審且未繳費，案件將直接被視為撤回。</w:t>
            </w:r>
          </w:p>
          <w:p w:rsidR="00B67EFB" w:rsidRPr="00B67EFB" w:rsidRDefault="00B67EFB" w:rsidP="00B67052">
            <w:pPr>
              <w:widowControl/>
              <w:numPr>
                <w:ilvl w:val="0"/>
                <w:numId w:val="37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12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個月新穎性寬限期（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Grace Period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：加拿大擁有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12 </w:t>
            </w:r>
            <w:proofErr w:type="gram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個</w:t>
            </w:r>
            <w:proofErr w:type="gramEnd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的新穎性優惠期。與歐洲、中國極度嚴格的限制不同，加拿大的寬限期相對寬鬆，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包含「發明人自己（或其前手）主動公開或銷售」該技術的行為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，只要在公開日起算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1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年內向加拿大遞交申請，皆不會喪失新穎性。</w:t>
            </w:r>
          </w:p>
          <w:p w:rsidR="00B67EFB" w:rsidRPr="00B67EFB" w:rsidRDefault="00B67EFB" w:rsidP="00B67052">
            <w:pPr>
              <w:widowControl/>
              <w:numPr>
                <w:ilvl w:val="0"/>
                <w:numId w:val="37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排除純商業方法與純演算法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：加拿大最高法院與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CIPO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審查指南明確規定，單純的商業方法、博弈遊戲或純數學演算法無法獲得專利。但如果軟體發明能夠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與實體硬體元素相結合，並解決了實體電腦運作中的技術問題（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Technical Problem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，則具備可專利性。</w:t>
            </w:r>
          </w:p>
          <w:p w:rsidR="00221986" w:rsidRPr="00327D7E" w:rsidRDefault="00B67EFB" w:rsidP="00B67052">
            <w:pPr>
              <w:widowControl/>
              <w:numPr>
                <w:ilvl w:val="0"/>
                <w:numId w:val="37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強制委託加拿大本地代理人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：外國申請人若在加拿大境內沒有常住地址或主要營業場所，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必須強制委託居住於加拿大當地的註冊專利代理人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辦理所有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CIPO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流程。</w:t>
            </w:r>
          </w:p>
        </w:tc>
      </w:tr>
      <w:tr w:rsidR="00221986" w:rsidRPr="00327D7E" w:rsidTr="0038473A">
        <w:tc>
          <w:tcPr>
            <w:tcW w:w="416" w:type="dxa"/>
            <w:vAlign w:val="center"/>
          </w:tcPr>
          <w:p w:rsidR="00221986" w:rsidRPr="00327D7E" w:rsidRDefault="00221986" w:rsidP="0038473A">
            <w:pPr>
              <w:jc w:val="center"/>
              <w:rPr>
                <w:sz w:val="20"/>
                <w:szCs w:val="20"/>
              </w:rPr>
            </w:pPr>
            <w:r w:rsidRPr="00327D7E">
              <w:rPr>
                <w:rFonts w:hint="eastAsia"/>
                <w:sz w:val="20"/>
                <w:szCs w:val="20"/>
              </w:rPr>
              <w:t>專利爭議侵權</w:t>
            </w:r>
          </w:p>
        </w:tc>
        <w:tc>
          <w:tcPr>
            <w:tcW w:w="10182" w:type="dxa"/>
          </w:tcPr>
          <w:p w:rsidR="00B67EFB" w:rsidRPr="00B67EFB" w:rsidRDefault="00B67EFB" w:rsidP="00B67052">
            <w:pPr>
              <w:widowControl/>
              <w:numPr>
                <w:ilvl w:val="0"/>
                <w:numId w:val="38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聯邦法院集中管轄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：雖然各省的高等法院（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Superior Courts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）在法律上有權受理專利訴訟，但實務上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99%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的加拿大專利侵權訴訟與無效宣告反訴，皆統一由加拿大聯邦法院（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Federal Court of Canada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）審理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。聯邦法院的判決直接在全國具備法律效力，且法官具備高度的智財審判專業。</w:t>
            </w:r>
          </w:p>
          <w:p w:rsidR="00B67EFB" w:rsidRPr="00B67EFB" w:rsidRDefault="00B67EFB" w:rsidP="00B67052">
            <w:pPr>
              <w:widowControl/>
              <w:numPr>
                <w:ilvl w:val="0"/>
                <w:numId w:val="38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判定原則（目的性解釋原則與等同）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</w:t>
            </w:r>
          </w:p>
          <w:p w:rsidR="00B67EFB" w:rsidRPr="00B67EFB" w:rsidRDefault="00B67EFB" w:rsidP="00B67052">
            <w:pPr>
              <w:widowControl/>
              <w:numPr>
                <w:ilvl w:val="1"/>
                <w:numId w:val="38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  </w:t>
            </w: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加拿大法院在技術侵權判定上，嚴格遵循最高法院確立的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「目的性解釋原則（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Purposive Construction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）」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</w:t>
            </w:r>
          </w:p>
          <w:p w:rsidR="00B67EFB" w:rsidRPr="00B67EFB" w:rsidRDefault="00B67EFB" w:rsidP="00B67052">
            <w:pPr>
              <w:widowControl/>
              <w:numPr>
                <w:ilvl w:val="1"/>
                <w:numId w:val="38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  </w:t>
            </w: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法官會站在該領域普通技術人員（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PHOSITA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）的角度，去判斷權利要求書中的某些技術特徵是「本質特徵（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Essential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）」還是「非本質特徵（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Non-essential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）」。</w:t>
            </w:r>
          </w:p>
          <w:p w:rsidR="00B67EFB" w:rsidRPr="00B67EFB" w:rsidRDefault="00B67EFB" w:rsidP="00B67052">
            <w:pPr>
              <w:widowControl/>
              <w:numPr>
                <w:ilvl w:val="1"/>
                <w:numId w:val="38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如果被告產品僅是替換了「非本質特徵」，且該替換在專利公開時對該技術人員是顯而易見的、亦未改變發明的運作方式，法院即會判定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等同侵權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成立。</w:t>
            </w:r>
          </w:p>
          <w:p w:rsidR="00B67EFB" w:rsidRPr="00B67EFB" w:rsidRDefault="00B67EFB" w:rsidP="00B67052">
            <w:pPr>
              <w:widowControl/>
              <w:numPr>
                <w:ilvl w:val="0"/>
                <w:numId w:val="38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引進「申請歷史檔案」作為抗辯依據（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Prosecution History Estoppel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：加拿大專利法特別規定，在侵權訴訟中，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允許引入申請人在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 CIPO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審查階段與審查委員之間的書信往返紀錄（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File Wrapper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。若發明人過去為了獲證而主動限縮了權利範圍，在訴訟中就不能再透過等同原則主張要回。</w:t>
            </w:r>
          </w:p>
          <w:p w:rsidR="00B67EFB" w:rsidRPr="00B67EFB" w:rsidRDefault="00B67EFB" w:rsidP="00B67052">
            <w:pPr>
              <w:widowControl/>
              <w:numPr>
                <w:ilvl w:val="0"/>
                <w:numId w:val="38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醫藥專利連結制度（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PMNOC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：針對生技醫藥產業，加拿大設有極為嚴格的《專利藥品（合格通知）條例》（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PMNOC Regulations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）。原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廠藥企可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將專利登記在清單上，當學名藥廠（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Generic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）欲申請上市時，必須先向原廠發出通知，雙方將在聯邦法院直接展開速審，以決定是否在藥品上市前發出禁令。</w:t>
            </w:r>
          </w:p>
          <w:p w:rsidR="00B67EFB" w:rsidRPr="00B67EFB" w:rsidRDefault="00B67EFB" w:rsidP="00B67052">
            <w:pPr>
              <w:widowControl/>
              <w:numPr>
                <w:ilvl w:val="0"/>
                <w:numId w:val="38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lastRenderedPageBreak/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救濟方式（損害賠償與利潤返還二選一）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：原告勝訴後，除了可獲得永久禁令外，在金錢賠償上可選擇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「權利人所受的實際損害與所失利益（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Damages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）」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，或是要求被告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「交出並返還因侵權所賺取的全部利潤（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Accounting of Profits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）」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，這為權利人提供了極大的商業求償彈性。</w:t>
            </w:r>
          </w:p>
          <w:p w:rsidR="00221986" w:rsidRPr="00327D7E" w:rsidRDefault="00B67EFB" w:rsidP="00B67052">
            <w:pPr>
              <w:widowControl/>
              <w:numPr>
                <w:ilvl w:val="0"/>
                <w:numId w:val="38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消滅時效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：加拿大專利侵權訴訟的追訴與損害賠償請求權時效，為自侵權行為發生之日起算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6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年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</w:t>
            </w:r>
          </w:p>
        </w:tc>
      </w:tr>
    </w:tbl>
    <w:p w:rsidR="00221986" w:rsidRPr="00327D7E" w:rsidRDefault="00221986" w:rsidP="00221986">
      <w:pPr>
        <w:jc w:val="center"/>
        <w:rPr>
          <w:sz w:val="20"/>
          <w:szCs w:val="20"/>
        </w:rPr>
      </w:pPr>
    </w:p>
    <w:sectPr w:rsidR="00221986" w:rsidRPr="00327D7E" w:rsidSect="002B2418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71825"/>
    <w:multiLevelType w:val="multilevel"/>
    <w:tmpl w:val="CFB8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D42204"/>
    <w:multiLevelType w:val="multilevel"/>
    <w:tmpl w:val="7978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2A0D8B"/>
    <w:multiLevelType w:val="multilevel"/>
    <w:tmpl w:val="66F2A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4E7D4E"/>
    <w:multiLevelType w:val="multilevel"/>
    <w:tmpl w:val="EACC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DD20A1"/>
    <w:multiLevelType w:val="multilevel"/>
    <w:tmpl w:val="D4544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34205A6"/>
    <w:multiLevelType w:val="multilevel"/>
    <w:tmpl w:val="E660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3CE7B6F"/>
    <w:multiLevelType w:val="multilevel"/>
    <w:tmpl w:val="391AF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4A35C8A"/>
    <w:multiLevelType w:val="multilevel"/>
    <w:tmpl w:val="C1765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BE26F2B"/>
    <w:multiLevelType w:val="multilevel"/>
    <w:tmpl w:val="4CFCC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E8A5424"/>
    <w:multiLevelType w:val="multilevel"/>
    <w:tmpl w:val="44804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34A7591"/>
    <w:multiLevelType w:val="multilevel"/>
    <w:tmpl w:val="0C22B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6ED130E"/>
    <w:multiLevelType w:val="multilevel"/>
    <w:tmpl w:val="603C6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A8B42EE"/>
    <w:multiLevelType w:val="multilevel"/>
    <w:tmpl w:val="B404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BEC47AA"/>
    <w:multiLevelType w:val="multilevel"/>
    <w:tmpl w:val="F046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0416C7D"/>
    <w:multiLevelType w:val="multilevel"/>
    <w:tmpl w:val="7344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5361767"/>
    <w:multiLevelType w:val="multilevel"/>
    <w:tmpl w:val="E612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60A603E"/>
    <w:multiLevelType w:val="multilevel"/>
    <w:tmpl w:val="C4F2E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D43061D"/>
    <w:multiLevelType w:val="multilevel"/>
    <w:tmpl w:val="5DE2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1773A08"/>
    <w:multiLevelType w:val="multilevel"/>
    <w:tmpl w:val="FC8A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2880F7B"/>
    <w:multiLevelType w:val="multilevel"/>
    <w:tmpl w:val="10AE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75C6478"/>
    <w:multiLevelType w:val="multilevel"/>
    <w:tmpl w:val="56C4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7C21A57"/>
    <w:multiLevelType w:val="multilevel"/>
    <w:tmpl w:val="703A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85B183E"/>
    <w:multiLevelType w:val="multilevel"/>
    <w:tmpl w:val="52003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A240B92"/>
    <w:multiLevelType w:val="multilevel"/>
    <w:tmpl w:val="27927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B0304A6"/>
    <w:multiLevelType w:val="multilevel"/>
    <w:tmpl w:val="E7C4F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06B60D2"/>
    <w:multiLevelType w:val="multilevel"/>
    <w:tmpl w:val="5936D8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4F4622B"/>
    <w:multiLevelType w:val="multilevel"/>
    <w:tmpl w:val="B3B80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90A1B6C"/>
    <w:multiLevelType w:val="multilevel"/>
    <w:tmpl w:val="7E9E1910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B20128F"/>
    <w:multiLevelType w:val="multilevel"/>
    <w:tmpl w:val="579E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B632E3B"/>
    <w:multiLevelType w:val="multilevel"/>
    <w:tmpl w:val="98B6F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BA64B85"/>
    <w:multiLevelType w:val="multilevel"/>
    <w:tmpl w:val="D99CEB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5BCC6494"/>
    <w:multiLevelType w:val="multilevel"/>
    <w:tmpl w:val="94FA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CE74F33"/>
    <w:multiLevelType w:val="multilevel"/>
    <w:tmpl w:val="487651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5F9772EE"/>
    <w:multiLevelType w:val="multilevel"/>
    <w:tmpl w:val="E1A6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03A490D"/>
    <w:multiLevelType w:val="multilevel"/>
    <w:tmpl w:val="8F6A4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08B7C6C"/>
    <w:multiLevelType w:val="multilevel"/>
    <w:tmpl w:val="FCE2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36C02A7"/>
    <w:multiLevelType w:val="multilevel"/>
    <w:tmpl w:val="D97CF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4C704CD"/>
    <w:multiLevelType w:val="multilevel"/>
    <w:tmpl w:val="A6FC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7322985"/>
    <w:multiLevelType w:val="multilevel"/>
    <w:tmpl w:val="2C925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8C75A7A"/>
    <w:multiLevelType w:val="multilevel"/>
    <w:tmpl w:val="7F541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9801B25"/>
    <w:multiLevelType w:val="multilevel"/>
    <w:tmpl w:val="01BC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AB32F3D"/>
    <w:multiLevelType w:val="multilevel"/>
    <w:tmpl w:val="CFF80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B0322E6"/>
    <w:multiLevelType w:val="multilevel"/>
    <w:tmpl w:val="12DE4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C2B6BC2"/>
    <w:multiLevelType w:val="multilevel"/>
    <w:tmpl w:val="6F848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6E091374"/>
    <w:multiLevelType w:val="multilevel"/>
    <w:tmpl w:val="DCBEF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1D53EBA"/>
    <w:multiLevelType w:val="multilevel"/>
    <w:tmpl w:val="4B72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CB165E1"/>
    <w:multiLevelType w:val="multilevel"/>
    <w:tmpl w:val="79E6F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EDB6807"/>
    <w:multiLevelType w:val="multilevel"/>
    <w:tmpl w:val="2054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F77415D"/>
    <w:multiLevelType w:val="multilevel"/>
    <w:tmpl w:val="79EA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6"/>
  </w:num>
  <w:num w:numId="2">
    <w:abstractNumId w:val="33"/>
  </w:num>
  <w:num w:numId="3">
    <w:abstractNumId w:val="8"/>
  </w:num>
  <w:num w:numId="4">
    <w:abstractNumId w:val="21"/>
  </w:num>
  <w:num w:numId="5">
    <w:abstractNumId w:val="45"/>
  </w:num>
  <w:num w:numId="6">
    <w:abstractNumId w:val="39"/>
  </w:num>
  <w:num w:numId="7">
    <w:abstractNumId w:val="11"/>
  </w:num>
  <w:num w:numId="8">
    <w:abstractNumId w:val="0"/>
  </w:num>
  <w:num w:numId="9">
    <w:abstractNumId w:val="25"/>
  </w:num>
  <w:num w:numId="10">
    <w:abstractNumId w:val="41"/>
  </w:num>
  <w:num w:numId="11">
    <w:abstractNumId w:val="22"/>
  </w:num>
  <w:num w:numId="12">
    <w:abstractNumId w:val="6"/>
  </w:num>
  <w:num w:numId="13">
    <w:abstractNumId w:val="14"/>
  </w:num>
  <w:num w:numId="14">
    <w:abstractNumId w:val="32"/>
  </w:num>
  <w:num w:numId="15">
    <w:abstractNumId w:val="26"/>
  </w:num>
  <w:num w:numId="16">
    <w:abstractNumId w:val="27"/>
  </w:num>
  <w:num w:numId="17">
    <w:abstractNumId w:val="10"/>
  </w:num>
  <w:num w:numId="18">
    <w:abstractNumId w:val="23"/>
  </w:num>
  <w:num w:numId="19">
    <w:abstractNumId w:val="3"/>
  </w:num>
  <w:num w:numId="20">
    <w:abstractNumId w:val="30"/>
  </w:num>
  <w:num w:numId="21">
    <w:abstractNumId w:val="20"/>
  </w:num>
  <w:num w:numId="22">
    <w:abstractNumId w:val="28"/>
  </w:num>
  <w:num w:numId="23">
    <w:abstractNumId w:val="24"/>
  </w:num>
  <w:num w:numId="24">
    <w:abstractNumId w:val="2"/>
  </w:num>
  <w:num w:numId="25">
    <w:abstractNumId w:val="40"/>
  </w:num>
  <w:num w:numId="26">
    <w:abstractNumId w:val="9"/>
  </w:num>
  <w:num w:numId="27">
    <w:abstractNumId w:val="35"/>
  </w:num>
  <w:num w:numId="28">
    <w:abstractNumId w:val="13"/>
  </w:num>
  <w:num w:numId="29">
    <w:abstractNumId w:val="34"/>
  </w:num>
  <w:num w:numId="30">
    <w:abstractNumId w:val="7"/>
  </w:num>
  <w:num w:numId="31">
    <w:abstractNumId w:val="18"/>
  </w:num>
  <w:num w:numId="32">
    <w:abstractNumId w:val="19"/>
  </w:num>
  <w:num w:numId="33">
    <w:abstractNumId w:val="12"/>
  </w:num>
  <w:num w:numId="34">
    <w:abstractNumId w:val="31"/>
  </w:num>
  <w:num w:numId="35">
    <w:abstractNumId w:val="4"/>
  </w:num>
  <w:num w:numId="36">
    <w:abstractNumId w:val="48"/>
  </w:num>
  <w:num w:numId="37">
    <w:abstractNumId w:val="44"/>
  </w:num>
  <w:num w:numId="38">
    <w:abstractNumId w:val="17"/>
  </w:num>
  <w:num w:numId="39">
    <w:abstractNumId w:val="29"/>
  </w:num>
  <w:num w:numId="40">
    <w:abstractNumId w:val="42"/>
  </w:num>
  <w:num w:numId="41">
    <w:abstractNumId w:val="5"/>
  </w:num>
  <w:num w:numId="42">
    <w:abstractNumId w:val="16"/>
  </w:num>
  <w:num w:numId="43">
    <w:abstractNumId w:val="43"/>
  </w:num>
  <w:num w:numId="44">
    <w:abstractNumId w:val="15"/>
  </w:num>
  <w:num w:numId="45">
    <w:abstractNumId w:val="47"/>
  </w:num>
  <w:num w:numId="46">
    <w:abstractNumId w:val="38"/>
  </w:num>
  <w:num w:numId="47">
    <w:abstractNumId w:val="37"/>
  </w:num>
  <w:num w:numId="48">
    <w:abstractNumId w:val="1"/>
  </w:num>
  <w:num w:numId="49">
    <w:abstractNumId w:val="36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2418"/>
    <w:rsid w:val="0000519D"/>
    <w:rsid w:val="000132D8"/>
    <w:rsid w:val="00021DB5"/>
    <w:rsid w:val="00061066"/>
    <w:rsid w:val="00114651"/>
    <w:rsid w:val="00207493"/>
    <w:rsid w:val="00221986"/>
    <w:rsid w:val="002268FE"/>
    <w:rsid w:val="002614B9"/>
    <w:rsid w:val="00281ED7"/>
    <w:rsid w:val="002B2418"/>
    <w:rsid w:val="00304F0E"/>
    <w:rsid w:val="00311A04"/>
    <w:rsid w:val="00323C17"/>
    <w:rsid w:val="00326595"/>
    <w:rsid w:val="00327D7E"/>
    <w:rsid w:val="00335F1C"/>
    <w:rsid w:val="00335FF7"/>
    <w:rsid w:val="00351403"/>
    <w:rsid w:val="0038473A"/>
    <w:rsid w:val="003934F9"/>
    <w:rsid w:val="003A72A6"/>
    <w:rsid w:val="003D135A"/>
    <w:rsid w:val="003F0011"/>
    <w:rsid w:val="00405226"/>
    <w:rsid w:val="00467E37"/>
    <w:rsid w:val="0047427D"/>
    <w:rsid w:val="004B580E"/>
    <w:rsid w:val="00520620"/>
    <w:rsid w:val="00536559"/>
    <w:rsid w:val="00546396"/>
    <w:rsid w:val="00582563"/>
    <w:rsid w:val="0064347F"/>
    <w:rsid w:val="00673D4D"/>
    <w:rsid w:val="0069358F"/>
    <w:rsid w:val="00693E2E"/>
    <w:rsid w:val="006B1F6B"/>
    <w:rsid w:val="00703A18"/>
    <w:rsid w:val="00707DF0"/>
    <w:rsid w:val="00751E8C"/>
    <w:rsid w:val="00764FF5"/>
    <w:rsid w:val="007B3EB0"/>
    <w:rsid w:val="007C4A0E"/>
    <w:rsid w:val="007E4ADC"/>
    <w:rsid w:val="007F3301"/>
    <w:rsid w:val="007F7E9A"/>
    <w:rsid w:val="00800831"/>
    <w:rsid w:val="008164E3"/>
    <w:rsid w:val="00832E41"/>
    <w:rsid w:val="00861D0B"/>
    <w:rsid w:val="00871FC8"/>
    <w:rsid w:val="0087517A"/>
    <w:rsid w:val="00883F16"/>
    <w:rsid w:val="008D1B6E"/>
    <w:rsid w:val="008F4EE6"/>
    <w:rsid w:val="0092228A"/>
    <w:rsid w:val="0093317A"/>
    <w:rsid w:val="00953015"/>
    <w:rsid w:val="0097671F"/>
    <w:rsid w:val="00976859"/>
    <w:rsid w:val="009874D8"/>
    <w:rsid w:val="009E242B"/>
    <w:rsid w:val="009F73AC"/>
    <w:rsid w:val="00A21A77"/>
    <w:rsid w:val="00A24D8F"/>
    <w:rsid w:val="00A31B11"/>
    <w:rsid w:val="00A323F0"/>
    <w:rsid w:val="00A377C6"/>
    <w:rsid w:val="00AE0F46"/>
    <w:rsid w:val="00AF652F"/>
    <w:rsid w:val="00B1669C"/>
    <w:rsid w:val="00B312BB"/>
    <w:rsid w:val="00B63ACC"/>
    <w:rsid w:val="00B67052"/>
    <w:rsid w:val="00B67EFB"/>
    <w:rsid w:val="00B75DE5"/>
    <w:rsid w:val="00B8067C"/>
    <w:rsid w:val="00B80AFA"/>
    <w:rsid w:val="00BA3845"/>
    <w:rsid w:val="00BB209B"/>
    <w:rsid w:val="00BB50E0"/>
    <w:rsid w:val="00C30657"/>
    <w:rsid w:val="00C9490D"/>
    <w:rsid w:val="00CF5C39"/>
    <w:rsid w:val="00D222AA"/>
    <w:rsid w:val="00D65FB0"/>
    <w:rsid w:val="00D97121"/>
    <w:rsid w:val="00DB7E6F"/>
    <w:rsid w:val="00DC2B0F"/>
    <w:rsid w:val="00DC65BD"/>
    <w:rsid w:val="00DF138F"/>
    <w:rsid w:val="00E031AE"/>
    <w:rsid w:val="00E143F6"/>
    <w:rsid w:val="00E333F6"/>
    <w:rsid w:val="00E4178B"/>
    <w:rsid w:val="00EE1147"/>
    <w:rsid w:val="00EF323B"/>
    <w:rsid w:val="00F45DFA"/>
    <w:rsid w:val="00F46448"/>
    <w:rsid w:val="00F52C54"/>
    <w:rsid w:val="00F7564B"/>
    <w:rsid w:val="00FC24E6"/>
    <w:rsid w:val="00FE2FBD"/>
    <w:rsid w:val="00FF2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B241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Strong"/>
    <w:basedOn w:val="a0"/>
    <w:uiPriority w:val="22"/>
    <w:qFormat/>
    <w:rsid w:val="002B2418"/>
    <w:rPr>
      <w:b/>
      <w:bCs/>
    </w:rPr>
  </w:style>
  <w:style w:type="character" w:customStyle="1" w:styleId="inqyif">
    <w:name w:val="inqyif"/>
    <w:basedOn w:val="a0"/>
    <w:rsid w:val="002B2418"/>
  </w:style>
  <w:style w:type="paragraph" w:styleId="a5">
    <w:name w:val="List Paragraph"/>
    <w:basedOn w:val="a"/>
    <w:uiPriority w:val="34"/>
    <w:qFormat/>
    <w:rsid w:val="00335FF7"/>
    <w:pPr>
      <w:ind w:leftChars="200" w:left="480"/>
    </w:pPr>
  </w:style>
  <w:style w:type="character" w:styleId="a6">
    <w:name w:val="Hyperlink"/>
    <w:basedOn w:val="a0"/>
    <w:uiPriority w:val="99"/>
    <w:unhideWhenUsed/>
    <w:rsid w:val="00BA3845"/>
    <w:rPr>
      <w:color w:val="0000FF"/>
      <w:u w:val="single"/>
    </w:rPr>
  </w:style>
  <w:style w:type="character" w:styleId="a7">
    <w:name w:val="Emphasis"/>
    <w:basedOn w:val="a0"/>
    <w:uiPriority w:val="20"/>
    <w:qFormat/>
    <w:rsid w:val="00326595"/>
    <w:rPr>
      <w:i/>
      <w:iCs/>
    </w:rPr>
  </w:style>
  <w:style w:type="character" w:customStyle="1" w:styleId="yadgie">
    <w:name w:val="yadgie"/>
    <w:basedOn w:val="a0"/>
    <w:rsid w:val="00D97121"/>
  </w:style>
  <w:style w:type="character" w:styleId="a8">
    <w:name w:val="FollowedHyperlink"/>
    <w:basedOn w:val="a0"/>
    <w:uiPriority w:val="99"/>
    <w:semiHidden/>
    <w:unhideWhenUsed/>
    <w:rsid w:val="00953015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B241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Strong"/>
    <w:basedOn w:val="a0"/>
    <w:uiPriority w:val="22"/>
    <w:qFormat/>
    <w:rsid w:val="002B2418"/>
    <w:rPr>
      <w:b/>
      <w:bCs/>
    </w:rPr>
  </w:style>
  <w:style w:type="character" w:customStyle="1" w:styleId="inqyif">
    <w:name w:val="inqyif"/>
    <w:basedOn w:val="a0"/>
    <w:rsid w:val="002B2418"/>
  </w:style>
  <w:style w:type="paragraph" w:styleId="a5">
    <w:name w:val="List Paragraph"/>
    <w:basedOn w:val="a"/>
    <w:uiPriority w:val="34"/>
    <w:qFormat/>
    <w:rsid w:val="00335FF7"/>
    <w:pPr>
      <w:ind w:leftChars="200" w:left="480"/>
    </w:pPr>
  </w:style>
  <w:style w:type="character" w:styleId="a6">
    <w:name w:val="Hyperlink"/>
    <w:basedOn w:val="a0"/>
    <w:uiPriority w:val="99"/>
    <w:unhideWhenUsed/>
    <w:rsid w:val="00BA3845"/>
    <w:rPr>
      <w:color w:val="0000FF"/>
      <w:u w:val="single"/>
    </w:rPr>
  </w:style>
  <w:style w:type="character" w:styleId="a7">
    <w:name w:val="Emphasis"/>
    <w:basedOn w:val="a0"/>
    <w:uiPriority w:val="20"/>
    <w:qFormat/>
    <w:rsid w:val="00326595"/>
    <w:rPr>
      <w:i/>
      <w:iCs/>
    </w:rPr>
  </w:style>
  <w:style w:type="character" w:customStyle="1" w:styleId="yadgie">
    <w:name w:val="yadgie"/>
    <w:basedOn w:val="a0"/>
    <w:rsid w:val="00D97121"/>
  </w:style>
  <w:style w:type="character" w:styleId="a8">
    <w:name w:val="FollowedHyperlink"/>
    <w:basedOn w:val="a0"/>
    <w:uiPriority w:val="99"/>
    <w:semiHidden/>
    <w:unhideWhenUsed/>
    <w:rsid w:val="0095301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02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9207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01231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8408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4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357192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7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16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8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04484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97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2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761289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35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06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4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6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35591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164624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33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7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9562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96634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78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26297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95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3933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15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55315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88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9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3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4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631151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78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73031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172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02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8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6291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94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843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7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1816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18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4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2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2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63390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62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5513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9947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77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9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031424">
                  <w:marLeft w:val="0"/>
                  <w:marRight w:val="0"/>
                  <w:marTop w:val="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869849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90904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518578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03538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055211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118884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575514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0662782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972525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073036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053881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415950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448808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910353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5824436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0872222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775763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9935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438497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257485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4067807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726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2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8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54632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37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4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6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0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6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64232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26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7914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85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28010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37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5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4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8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14633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3412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1355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86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726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9093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35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46889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75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23245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53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11456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28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26134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14938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18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4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592241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16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6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2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88712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01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0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2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7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1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ised-isde.canada.ca/site/canadian-intellectual-property-office/e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2A7659-0569-4D9B-9DDC-4A9642BF2D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287</Words>
  <Characters>1638</Characters>
  <Application>Microsoft Office Word</Application>
  <DocSecurity>0</DocSecurity>
  <Lines>13</Lines>
  <Paragraphs>3</Paragraphs>
  <ScaleCrop>false</ScaleCrop>
  <Company/>
  <LinksUpToDate>false</LinksUpToDate>
  <CharactersWithSpaces>1922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</cp:revision>
  <dcterms:created xsi:type="dcterms:W3CDTF">2026-08-05T00:50:00Z</dcterms:created>
  <dcterms:modified xsi:type="dcterms:W3CDTF">2026-09-04T06:31:00Z</dcterms:modified>
</cp:coreProperties>
</file>