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066" w:rsidRPr="00327D7E" w:rsidRDefault="00F7564B" w:rsidP="00061066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印尼</w:t>
      </w:r>
      <w:r w:rsidR="00536559">
        <w:rPr>
          <w:rFonts w:hint="eastAsia"/>
          <w:sz w:val="20"/>
          <w:szCs w:val="20"/>
        </w:rPr>
        <w:t>專利</w:t>
      </w:r>
    </w:p>
    <w:p w:rsidR="00921772" w:rsidRPr="00327D7E" w:rsidRDefault="00E031AE" w:rsidP="00061066">
      <w:pPr>
        <w:jc w:val="center"/>
        <w:rPr>
          <w:sz w:val="20"/>
          <w:szCs w:val="20"/>
        </w:rPr>
      </w:pPr>
      <w:r>
        <w:t>DJKI</w:t>
      </w:r>
      <w:r>
        <w:rPr>
          <w:rFonts w:hint="eastAsia"/>
        </w:rPr>
        <w:t xml:space="preserve"> </w:t>
      </w:r>
      <w:r w:rsidR="00061066" w:rsidRPr="00327D7E">
        <w:rPr>
          <w:rFonts w:hint="eastAsia"/>
          <w:sz w:val="20"/>
          <w:szCs w:val="20"/>
        </w:rPr>
        <w:t>網址：</w:t>
      </w:r>
      <w:hyperlink r:id="rId7" w:history="1">
        <w:r w:rsidR="00921772" w:rsidRPr="009011E9">
          <w:rPr>
            <w:rStyle w:val="a6"/>
            <w:sz w:val="20"/>
            <w:szCs w:val="20"/>
          </w:rPr>
          <w:t>https://dgip.go.id/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A31B11" w:rsidRPr="00327D7E" w:rsidTr="00A31B1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A31B11" w:rsidRPr="00327D7E" w:rsidTr="00A31B1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一般專利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即發明專利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實體審查制（含新穎性、進步性與產業利用性）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具備新穎性與進步性的技術產品、方法。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2026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新制擴大納入「系統、電腦軟體方法與特殊用途」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A31B11" w:rsidRPr="00327D7E" w:rsidTr="00A31B11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簡易專利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即新型專利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（不可延期）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實體審查制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，僅審查新穎性與實用效益）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針對實體產品在外形、結構或構造上的全新改良（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排除「方法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製程」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A31B11" w:rsidRPr="00327D7E" w:rsidTr="00A31B11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次，最長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形式審查制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A31B11" w:rsidRPr="00A31B11" w:rsidRDefault="00A31B11" w:rsidP="00A31B11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A31B11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產品全部或部分在外觀、線條、色彩、形狀上具備美感並可供工業應用的創新設計。</w:t>
                  </w:r>
                </w:p>
              </w:tc>
            </w:tr>
          </w:tbl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擴大可專利標的（納入軟體與用途）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2026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年最新修正案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大幅放寬了發明定義，正式將「系統（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Systems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）」、「方法（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Methods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）」與「特定用途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使用（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Uses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）」列入保護範圍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，這為跨國科技公司在印尼佈局軟體、數位科技與生技藥品用途時提供了更有力的法源支持。</w:t>
            </w:r>
          </w:p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強制全面電子化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filing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：新制實施後，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印尼徹底廢除紙本收件，所有專利申請必須強制透過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DGIP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的線上系統進行電子提交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超額權利要求費改為「申請時繳納」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：過去印尼允許申請人將超過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項的超額權利要求費（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Excess Claim Fees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拖延至提實體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審查時（最長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36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個月）再行補繳。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2026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年新制改為「申請當天必須立即繳清」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，否則該案將直接被視為撤回，無法取得申請日。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簡易專利（新型）亦須實體審查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：印尼的簡易專利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並非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登記制，它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強制要求進行新穎性實體審查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，雖然免除進步性要求，但仍需耗費時間。不過，新法引入了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加速公開（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Accelerated Publication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）機制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，申請人可在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月內請求公開以加快進度。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A31B11" w:rsidRPr="00A31B11" w:rsidRDefault="00A31B11" w:rsidP="00A31B11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A31B11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A31B11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新增核准後再審查機制（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Re-examination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2026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年新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中，如果專利不幸遭到核駁、或在公告授權後有特定爭議，申請人與利害關係人有了全新的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官方再審查行政救濟管道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，提供除法院訴訟外更彈性的爭端解決機制。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  <w:p w:rsidR="00061066" w:rsidRPr="00327D7E" w:rsidRDefault="00A31B11" w:rsidP="00B67052">
            <w:pPr>
              <w:widowControl/>
              <w:numPr>
                <w:ilvl w:val="0"/>
                <w:numId w:val="2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遺傳資源與傳統知識強制聲明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：如果技術發明涉及印尼當地的遺傳資源（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Genetic Resources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）或傳統知識，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申請時必須強制提交來源國與原產地的正式聲明書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，否則不予受理。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</w:p>
        </w:tc>
      </w:tr>
      <w:tr w:rsidR="00061066" w:rsidRPr="00327D7E" w:rsidTr="000132D8">
        <w:tc>
          <w:tcPr>
            <w:tcW w:w="416" w:type="dxa"/>
            <w:vAlign w:val="center"/>
          </w:tcPr>
          <w:p w:rsidR="00061066" w:rsidRPr="00327D7E" w:rsidRDefault="00061066" w:rsidP="000132D8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商業法院集中管轄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：印尼的專利侵權民事訴訟與無效宣告反訴，統一由特定的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商業法院（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Commercial Court /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Pengadilan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Niaga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管轄（例如雅加達商業法院），不歸一般地方民事法院審理。</w:t>
            </w:r>
          </w:p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判定原則（高度依賴字面文義）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：印尼商業法院在判定侵權時，實務上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極度重視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）與全要件原則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。雖然理論上承認等同原則，但法官在比對技術特徵時通常非常機械化，若被告產品與專利權利要求字面有微小差異，權利人往往面臨很高的敗訴風險。</w:t>
            </w:r>
          </w:p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當地實施（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Local Working Requirement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）義務的防禦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：印尼專利法規定，專利權人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必須在印尼境內「實施」該專利（如在當地設廠生產）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。若無法在當地製造，權利人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必須向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DGIP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提交「延期實施聲明」或改以進口、授權他人製造代替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。否則，競爭對手可以以此為由向法院申請「強制授權」，或直接主張撤銷該專利。</w:t>
            </w:r>
          </w:p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刑事與民事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併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：印尼法律將專利侵權定性為「告訴乃論罪」，權利人除了打民事官司請求損害賠償外，亦可直接向印尼警方國家調查局（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Bareskrim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Polri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）檢舉，發動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刑事突擊搜查與扣押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，侵權負責人可能面臨有期徒刑或高額刑事罰金。</w:t>
            </w:r>
          </w:p>
          <w:p w:rsidR="00A31B11" w:rsidRPr="00A31B11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海關邊境保護措施（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Customs Recordation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：專利權人可以將其獲證的印尼專利在海關進行備案。一旦海關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查獲涉嫌侵權的進出口貨物，可根據法院的臨時命令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直接在邊境扣押該批走私或仿冒產品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，對防堵進口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侵權品非常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有效。</w:t>
            </w:r>
          </w:p>
          <w:p w:rsidR="00061066" w:rsidRPr="00327D7E" w:rsidRDefault="00A31B11" w:rsidP="00B67052">
            <w:pPr>
              <w:widowControl/>
              <w:numPr>
                <w:ilvl w:val="0"/>
                <w:numId w:val="3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6595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：印尼專利民事侵權訴訟的請求權時效，通常為自權利人「知悉侵權行為及侵權人」之日起算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92228A" w:rsidRPr="00327D7E" w:rsidRDefault="0092228A">
      <w:pPr>
        <w:widowControl/>
        <w:rPr>
          <w:sz w:val="20"/>
          <w:szCs w:val="20"/>
        </w:rPr>
      </w:pPr>
    </w:p>
    <w:sectPr w:rsidR="0092228A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4347F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1772"/>
    <w:rsid w:val="0092228A"/>
    <w:rsid w:val="00927F79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gip.go.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FFF96-67DA-472E-87B3-64EA83611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2026-08-05T00:48:00Z</dcterms:created>
  <dcterms:modified xsi:type="dcterms:W3CDTF">2026-09-04T05:29:00Z</dcterms:modified>
</cp:coreProperties>
</file>