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986" w:rsidRPr="00327D7E" w:rsidRDefault="00DC2B0F" w:rsidP="00221986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印度</w:t>
      </w:r>
      <w:r w:rsidR="00536559">
        <w:rPr>
          <w:rFonts w:hint="eastAsia"/>
          <w:sz w:val="20"/>
          <w:szCs w:val="20"/>
        </w:rPr>
        <w:t>專利</w:t>
      </w:r>
    </w:p>
    <w:p w:rsidR="00B56DEF" w:rsidRPr="00327D7E" w:rsidRDefault="00A31591" w:rsidP="00B56DEF">
      <w:pPr>
        <w:jc w:val="center"/>
        <w:rPr>
          <w:sz w:val="20"/>
          <w:szCs w:val="20"/>
        </w:rPr>
      </w:pPr>
      <w:r>
        <w:t>I</w:t>
      </w:r>
      <w:r w:rsidR="00A24D8F">
        <w:t>P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lndia</w:t>
      </w:r>
      <w:proofErr w:type="spellEnd"/>
      <w:r w:rsidR="00A24D8F">
        <w:rPr>
          <w:rFonts w:hint="eastAsia"/>
        </w:rPr>
        <w:t xml:space="preserve"> </w:t>
      </w:r>
      <w:r w:rsidR="00221986" w:rsidRPr="00327D7E">
        <w:rPr>
          <w:rFonts w:hint="eastAsia"/>
          <w:sz w:val="20"/>
          <w:szCs w:val="20"/>
        </w:rPr>
        <w:t>網址：</w:t>
      </w:r>
      <w:r w:rsidR="00B56DEF">
        <w:rPr>
          <w:sz w:val="20"/>
          <w:szCs w:val="20"/>
        </w:rPr>
        <w:fldChar w:fldCharType="begin"/>
      </w:r>
      <w:r w:rsidR="00B56DEF">
        <w:rPr>
          <w:sz w:val="20"/>
          <w:szCs w:val="20"/>
        </w:rPr>
        <w:instrText xml:space="preserve"> HYPERLINK "</w:instrText>
      </w:r>
      <w:r w:rsidR="00B56DEF" w:rsidRPr="00B56DEF">
        <w:rPr>
          <w:sz w:val="20"/>
          <w:szCs w:val="20"/>
        </w:rPr>
        <w:instrText>https://ipindia.gov.in/</w:instrText>
      </w:r>
      <w:r w:rsidR="00B56DEF">
        <w:rPr>
          <w:sz w:val="20"/>
          <w:szCs w:val="20"/>
        </w:rPr>
        <w:instrText xml:space="preserve">" </w:instrText>
      </w:r>
      <w:r w:rsidR="00B56DEF">
        <w:rPr>
          <w:sz w:val="20"/>
          <w:szCs w:val="20"/>
        </w:rPr>
        <w:fldChar w:fldCharType="separate"/>
      </w:r>
      <w:r w:rsidR="00B56DEF" w:rsidRPr="00813B23">
        <w:rPr>
          <w:rStyle w:val="a6"/>
          <w:sz w:val="20"/>
          <w:szCs w:val="20"/>
        </w:rPr>
        <w:t>https://ipindia.g</w:t>
      </w:r>
      <w:r w:rsidR="00B56DEF" w:rsidRPr="00813B23">
        <w:rPr>
          <w:rStyle w:val="a6"/>
          <w:sz w:val="20"/>
          <w:szCs w:val="20"/>
        </w:rPr>
        <w:t>o</w:t>
      </w:r>
      <w:r w:rsidR="00B56DEF" w:rsidRPr="00813B23">
        <w:rPr>
          <w:rStyle w:val="a6"/>
          <w:sz w:val="20"/>
          <w:szCs w:val="20"/>
        </w:rPr>
        <w:t>v.in/</w:t>
      </w:r>
      <w:r w:rsidR="00B56DEF">
        <w:rPr>
          <w:sz w:val="20"/>
          <w:szCs w:val="20"/>
        </w:rPr>
        <w:fldChar w:fldCharType="end"/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DC2B0F" w:rsidRPr="00327D7E" w:rsidTr="00DC2B0F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DC2B0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DC2B0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DC2B0F" w:rsidRPr="00327D7E" w:rsidTr="00DC2B0F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（須主動提審查請求）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具備新穎性、進步性（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Inventive Step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）與產業利用性的技術產品或方法。</w:t>
                  </w:r>
                </w:p>
              </w:tc>
            </w:tr>
            <w:tr w:rsidR="00DC2B0F" w:rsidRPr="00327D7E" w:rsidTr="00DC2B0F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印度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不設新型專利制度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。</w:t>
                  </w:r>
                </w:p>
              </w:tc>
            </w:tr>
            <w:tr w:rsidR="00DC2B0F" w:rsidRPr="00327D7E" w:rsidTr="00DC2B0F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設計專利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1 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5 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年，最長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形式審查與形式檢索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應用於物品上，由線條、形狀、圖案、色彩組成的創新外觀特徵（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排除軟體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GUI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</w:tbl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DC2B0F" w:rsidRPr="00DC2B0F" w:rsidRDefault="00DC2B0F" w:rsidP="00B67052">
            <w:pPr>
              <w:widowControl/>
              <w:numPr>
                <w:ilvl w:val="0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第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3(d)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條：極其嚴格的醫藥與化學審查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：這是印度專利法最著名的條款。單純針對「已知物質的全新形式或全新用途」，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除非能證明其帶來「顯著提高的治療功效（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Enhanced Efficacy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，否則一律被視為「不可專利之標的」。這項條款旨在防止國際大藥廠進行專利常青化（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Evergreening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）。</w:t>
            </w:r>
          </w:p>
          <w:p w:rsidR="00DC2B0F" w:rsidRPr="00DC2B0F" w:rsidRDefault="00DC2B0F" w:rsidP="00B67052">
            <w:pPr>
              <w:widowControl/>
              <w:numPr>
                <w:ilvl w:val="0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第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3(k)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條：排除軟體與演算法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：印度明確將「電腦程式本身（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Per Se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）」與「數學或商業方法」排除在專利保護之外。軟體發明在印度若想獲證，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必須證明該軟體與實體硬體架構產生了緊密的結合，並帶來了明確的技術效果（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Technical Effect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DC2B0F" w:rsidRPr="00DC2B0F" w:rsidRDefault="00DC2B0F" w:rsidP="00B67052">
            <w:pPr>
              <w:widowControl/>
              <w:numPr>
                <w:ilvl w:val="0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大幅放寬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Form 27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「實施聲明」義務（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2024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新制核心）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DC2B0F" w:rsidRPr="00DC2B0F" w:rsidRDefault="00DC2B0F" w:rsidP="00B67052">
            <w:pPr>
              <w:widowControl/>
              <w:numPr>
                <w:ilvl w:val="1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過去印度強制專利權人每年都必須提交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Form 27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，詳細申報該專利在印度境內的製造、進口與銷售數據，否則面臨鉅額罰款。</w:t>
            </w:r>
          </w:p>
          <w:p w:rsidR="00DC2B0F" w:rsidRPr="00DC2B0F" w:rsidRDefault="00DC2B0F" w:rsidP="00B67052">
            <w:pPr>
              <w:widowControl/>
              <w:numPr>
                <w:ilvl w:val="1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2024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年最新修正案全面鬆綁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：改為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「每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財政年度」僅需提交一次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，且大幅簡化了申報內容，專利權人不再需要公開敏感的商業銷售與進口金額數據。</w:t>
            </w:r>
          </w:p>
          <w:p w:rsidR="00DC2B0F" w:rsidRPr="00DC2B0F" w:rsidRDefault="00DC2B0F" w:rsidP="00B67052">
            <w:pPr>
              <w:widowControl/>
              <w:numPr>
                <w:ilvl w:val="0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第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8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條「外國對應案申報」流程簡化（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2024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新制核心）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DC2B0F" w:rsidRPr="00DC2B0F" w:rsidRDefault="00DC2B0F" w:rsidP="00B67052">
            <w:pPr>
              <w:widowControl/>
              <w:numPr>
                <w:ilvl w:val="1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過去申請人必須在對應外國案有任何進展（如收到檢索報告、核准）時，主動在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6 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月內向印度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申報更新。</w:t>
            </w:r>
          </w:p>
          <w:p w:rsidR="00DC2B0F" w:rsidRPr="00DC2B0F" w:rsidRDefault="00DC2B0F" w:rsidP="00B67052">
            <w:pPr>
              <w:widowControl/>
              <w:numPr>
                <w:ilvl w:val="1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新細明體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2024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新制大幅放寬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：申請人現在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只需在收到印度第一期審查報告（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FER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）後的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月內，一次性提交更新即可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，大幅降低了跨國申請人的行政代理成本。</w:t>
            </w:r>
          </w:p>
          <w:p w:rsidR="00DC2B0F" w:rsidRPr="00DC2B0F" w:rsidRDefault="00DC2B0F" w:rsidP="00B67052">
            <w:pPr>
              <w:widowControl/>
              <w:numPr>
                <w:ilvl w:val="0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答辯期限可花規費展延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：印度發明專利收到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FER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後的答辯期為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6 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月。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2024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年修正案放寬，申請人若有需要，可在原期限屆滿前，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透過繳納規費申請展延最多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221986" w:rsidRPr="00327D7E" w:rsidRDefault="00DC2B0F" w:rsidP="00B67052">
            <w:pPr>
              <w:widowControl/>
              <w:numPr>
                <w:ilvl w:val="0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外國人強制委託本地代理人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：外國申請人在印度沒有營業場所者，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必須強制委託印度當地的註冊專利代理人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辦理所有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程序。</w:t>
            </w: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DC2B0F" w:rsidRPr="00DC2B0F" w:rsidRDefault="00DC2B0F" w:rsidP="00B67052">
            <w:pPr>
              <w:widowControl/>
              <w:numPr>
                <w:ilvl w:val="0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廢除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IPAB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，回歸商業法院管轄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：印度政府於前幾年正式廢除了原有的智慧財產權上訴委員會（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IPAB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）。目前，專利侵權訴訟與專利無效宣告（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Revocation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）反訴，統一由各省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高等法院設有的專責商業法庭（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Commercial Courts / Commercial Division of High Courts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審理（如德里高等法院、孟買高等法院），審理效率與專業度較過去有顯著提升。</w:t>
            </w:r>
          </w:p>
          <w:p w:rsidR="00DC2B0F" w:rsidRPr="00DC2B0F" w:rsidRDefault="00DC2B0F" w:rsidP="00B67052">
            <w:pPr>
              <w:widowControl/>
              <w:numPr>
                <w:ilvl w:val="0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核准前與核准後雙軌異議制度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：印度的專利面臨極大的第三方阻擊風險。</w:t>
            </w:r>
          </w:p>
          <w:p w:rsidR="00DC2B0F" w:rsidRPr="00DC2B0F" w:rsidRDefault="00DC2B0F" w:rsidP="00B67052">
            <w:pPr>
              <w:widowControl/>
              <w:numPr>
                <w:ilvl w:val="1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核准前異議（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Pre-grant Opposition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：專利公開後至核准前的任何時間，任何人都可提出異議。</w:t>
            </w:r>
          </w:p>
          <w:p w:rsidR="00DC2B0F" w:rsidRPr="00DC2B0F" w:rsidRDefault="00DC2B0F" w:rsidP="00B67052">
            <w:pPr>
              <w:widowControl/>
              <w:numPr>
                <w:ilvl w:val="1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核准後異議（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Post-grant Opposition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：專利獲證公告日起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，任何利害關係人皆可向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註冊官提出行政撤銷。</w:t>
            </w:r>
          </w:p>
          <w:p w:rsidR="00DC2B0F" w:rsidRPr="00DC2B0F" w:rsidRDefault="00DC2B0F" w:rsidP="00B67052">
            <w:pPr>
              <w:widowControl/>
              <w:numPr>
                <w:ilvl w:val="0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判定原則（字面文義與精髓原則）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DC2B0F" w:rsidRPr="00DC2B0F" w:rsidRDefault="00DC2B0F" w:rsidP="00B67052">
            <w:pPr>
              <w:widowControl/>
              <w:numPr>
                <w:ilvl w:val="1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印度法院在技術侵權判定上主要遵循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Literal Infringement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DC2B0F" w:rsidRPr="00DC2B0F" w:rsidRDefault="00DC2B0F" w:rsidP="00B67052">
            <w:pPr>
              <w:widowControl/>
              <w:numPr>
                <w:ilvl w:val="1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lastRenderedPageBreak/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若字面不完全相符，法院亦適用等同原則，在印度司法判例中被稱為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「精髓原則（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Pith and Marrow / Substance of the Invention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。法官會剝離非本質特徵，檢視被告產品是否抄襲了該發明的核心技術精髓。</w:t>
            </w:r>
          </w:p>
          <w:p w:rsidR="00DC2B0F" w:rsidRPr="00DC2B0F" w:rsidRDefault="00DC2B0F" w:rsidP="00B67052">
            <w:pPr>
              <w:widowControl/>
              <w:numPr>
                <w:ilvl w:val="0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強制授權（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Compulsory Licensing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）風險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：如果專利獲證滿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3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年後，專利權人未在印度境內合理實施（如未在當地平價銷售或滿足市場對該藥品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技術的需求），任何第三方皆可向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申請強制授權，強制專利權人讓渡製造權。</w:t>
            </w:r>
          </w:p>
          <w:p w:rsidR="00DC2B0F" w:rsidRPr="00DC2B0F" w:rsidRDefault="00DC2B0F" w:rsidP="00B67052">
            <w:pPr>
              <w:widowControl/>
              <w:numPr>
                <w:ilvl w:val="0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侵權救濟與高額律師費追償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：印度法院近年在專利訴訟中展現了對權利人的強大保護，除可判處臨時與永久禁令、損害賠償或侵權所得利益外，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德里高等法院等著名法庭近年頻繁判決由敗訴方「全額全數承擔原告高昂的律師與訴訟費用」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，這對惡意侵權者產生了巨大的震懾力。</w:t>
            </w:r>
          </w:p>
          <w:p w:rsidR="00221986" w:rsidRPr="00327D7E" w:rsidRDefault="00DC2B0F" w:rsidP="00B67052">
            <w:pPr>
              <w:widowControl/>
              <w:numPr>
                <w:ilvl w:val="0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：專利侵權民事訴訟的追訴與損害賠償請求權時效，為自侵權行為發生之日起算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3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00519D" w:rsidRPr="00327D7E" w:rsidRDefault="0000519D">
      <w:pPr>
        <w:widowControl/>
        <w:rPr>
          <w:sz w:val="20"/>
          <w:szCs w:val="20"/>
        </w:rPr>
      </w:pPr>
    </w:p>
    <w:sectPr w:rsidR="0000519D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0519D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4347F"/>
    <w:rsid w:val="00673D4D"/>
    <w:rsid w:val="0069358F"/>
    <w:rsid w:val="00693E2E"/>
    <w:rsid w:val="006B1F6B"/>
    <w:rsid w:val="00703A18"/>
    <w:rsid w:val="00707DF0"/>
    <w:rsid w:val="00751E8C"/>
    <w:rsid w:val="00764FF5"/>
    <w:rsid w:val="007A13DE"/>
    <w:rsid w:val="007B3EB0"/>
    <w:rsid w:val="007C4A0E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591"/>
    <w:rsid w:val="00A31B11"/>
    <w:rsid w:val="00A323F0"/>
    <w:rsid w:val="00A377C6"/>
    <w:rsid w:val="00AE0F46"/>
    <w:rsid w:val="00AF652F"/>
    <w:rsid w:val="00B1669C"/>
    <w:rsid w:val="00B312BB"/>
    <w:rsid w:val="00B56DEF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A3159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A3159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326E3B-FD91-4195-86FA-93337D65D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2026-08-05T00:50:00Z</dcterms:created>
  <dcterms:modified xsi:type="dcterms:W3CDTF">2026-09-04T01:11:00Z</dcterms:modified>
</cp:coreProperties>
</file>