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21986" w:rsidRPr="00327D7E" w:rsidRDefault="004B580E" w:rsidP="00221986">
      <w:pPr>
        <w:jc w:val="center"/>
        <w:rPr>
          <w:sz w:val="20"/>
          <w:szCs w:val="20"/>
        </w:rPr>
      </w:pPr>
      <w:r w:rsidRPr="00327D7E">
        <w:rPr>
          <w:rFonts w:hint="eastAsia"/>
          <w:sz w:val="20"/>
          <w:szCs w:val="20"/>
        </w:rPr>
        <w:t>巴西</w:t>
      </w:r>
      <w:r w:rsidR="00536559">
        <w:rPr>
          <w:rFonts w:hint="eastAsia"/>
          <w:sz w:val="20"/>
          <w:szCs w:val="20"/>
        </w:rPr>
        <w:t>專利</w:t>
      </w:r>
    </w:p>
    <w:p w:rsidR="00166C9D" w:rsidRPr="00327D7E" w:rsidRDefault="00E4178B" w:rsidP="00F632E2">
      <w:pPr>
        <w:jc w:val="center"/>
        <w:rPr>
          <w:sz w:val="20"/>
          <w:szCs w:val="20"/>
        </w:rPr>
      </w:pPr>
      <w:r>
        <w:t>INPI</w:t>
      </w:r>
      <w:r>
        <w:rPr>
          <w:rFonts w:hint="eastAsia"/>
        </w:rPr>
        <w:t xml:space="preserve"> </w:t>
      </w:r>
      <w:r w:rsidR="00221986" w:rsidRPr="00327D7E">
        <w:rPr>
          <w:rFonts w:hint="eastAsia"/>
          <w:sz w:val="20"/>
          <w:szCs w:val="20"/>
        </w:rPr>
        <w:t>網址：</w:t>
      </w:r>
      <w:hyperlink r:id="rId7" w:history="1">
        <w:r w:rsidR="00166C9D" w:rsidRPr="00DE763B">
          <w:rPr>
            <w:rStyle w:val="a6"/>
          </w:rPr>
          <w:t>https://www.gov.br/inpi/pt-br</w:t>
        </w:r>
      </w:hyperlink>
      <w:bookmarkStart w:id="0" w:name="_GoBack"/>
      <w:bookmarkEnd w:id="0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16"/>
        <w:gridCol w:w="10182"/>
      </w:tblGrid>
      <w:tr w:rsidR="00221986" w:rsidRPr="00327D7E" w:rsidTr="0038473A">
        <w:tc>
          <w:tcPr>
            <w:tcW w:w="416" w:type="dxa"/>
            <w:vAlign w:val="center"/>
          </w:tcPr>
          <w:p w:rsidR="00221986" w:rsidRPr="00327D7E" w:rsidRDefault="00221986" w:rsidP="0038473A">
            <w:pPr>
              <w:jc w:val="center"/>
              <w:rPr>
                <w:sz w:val="20"/>
                <w:szCs w:val="20"/>
              </w:rPr>
            </w:pPr>
            <w:r w:rsidRPr="00327D7E">
              <w:rPr>
                <w:rFonts w:hint="eastAsia"/>
                <w:sz w:val="20"/>
                <w:szCs w:val="20"/>
              </w:rPr>
              <w:t>專利種類</w:t>
            </w:r>
          </w:p>
        </w:tc>
        <w:tc>
          <w:tcPr>
            <w:tcW w:w="1018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91"/>
              <w:gridCol w:w="2492"/>
              <w:gridCol w:w="2491"/>
              <w:gridCol w:w="2492"/>
            </w:tblGrid>
            <w:tr w:rsidR="004B580E" w:rsidRPr="00327D7E" w:rsidTr="004B580E">
              <w:trPr>
                <w:tblCellSpacing w:w="15" w:type="dxa"/>
              </w:trPr>
              <w:tc>
                <w:tcPr>
                  <w:tcW w:w="2446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4B580E" w:rsidRPr="004B580E" w:rsidRDefault="004B580E" w:rsidP="004B580E">
                  <w:pPr>
                    <w:widowControl/>
                    <w:jc w:val="center"/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</w:pPr>
                  <w:r w:rsidRPr="004B580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專利</w:t>
                  </w:r>
                  <w:r w:rsidRPr="004B580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/</w:t>
                  </w:r>
                  <w:r w:rsidRPr="004B580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保護種類</w:t>
                  </w:r>
                </w:p>
              </w:tc>
              <w:tc>
                <w:tcPr>
                  <w:tcW w:w="2462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4B580E" w:rsidRPr="004B580E" w:rsidRDefault="004B580E" w:rsidP="004B580E">
                  <w:pPr>
                    <w:widowControl/>
                    <w:jc w:val="center"/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</w:pPr>
                  <w:r w:rsidRPr="004B580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保護年限（自申請日起算）</w:t>
                  </w:r>
                </w:p>
              </w:tc>
              <w:tc>
                <w:tcPr>
                  <w:tcW w:w="2461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4B580E" w:rsidRPr="004B580E" w:rsidRDefault="004B580E" w:rsidP="004B580E">
                  <w:pPr>
                    <w:widowControl/>
                    <w:jc w:val="center"/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</w:pPr>
                  <w:r w:rsidRPr="004B580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審查制度</w:t>
                  </w:r>
                </w:p>
              </w:tc>
              <w:tc>
                <w:tcPr>
                  <w:tcW w:w="2447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4B580E" w:rsidRPr="004B580E" w:rsidRDefault="004B580E" w:rsidP="004B580E">
                  <w:pPr>
                    <w:widowControl/>
                    <w:jc w:val="center"/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</w:pPr>
                  <w:r w:rsidRPr="004B580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核心保護標的</w:t>
                  </w:r>
                </w:p>
              </w:tc>
            </w:tr>
            <w:tr w:rsidR="004B580E" w:rsidRPr="00327D7E" w:rsidTr="004B580E">
              <w:trPr>
                <w:tblCellSpacing w:w="15" w:type="dxa"/>
              </w:trPr>
              <w:tc>
                <w:tcPr>
                  <w:tcW w:w="2446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4B580E" w:rsidRPr="004B580E" w:rsidRDefault="004B580E" w:rsidP="004B580E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發明專利</w:t>
                  </w:r>
                </w:p>
              </w:tc>
              <w:tc>
                <w:tcPr>
                  <w:tcW w:w="2462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4B580E" w:rsidRPr="004B580E" w:rsidRDefault="004B580E" w:rsidP="004B580E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 xml:space="preserve">20 </w:t>
                  </w: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年</w:t>
                  </w:r>
                </w:p>
              </w:tc>
              <w:tc>
                <w:tcPr>
                  <w:tcW w:w="2461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4B580E" w:rsidRPr="004B580E" w:rsidRDefault="004B580E" w:rsidP="004B580E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全面實體審查制</w:t>
                  </w:r>
                  <w:r w:rsidRPr="004B580E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（須主動提審查請求）</w:t>
                  </w:r>
                </w:p>
              </w:tc>
              <w:tc>
                <w:tcPr>
                  <w:tcW w:w="2447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4B580E" w:rsidRPr="004B580E" w:rsidRDefault="004B580E" w:rsidP="004B580E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4B580E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具備新穎性、進步性與產業利用性的技術產品或方法。</w:t>
                  </w:r>
                </w:p>
              </w:tc>
            </w:tr>
            <w:tr w:rsidR="004B580E" w:rsidRPr="00327D7E" w:rsidTr="004B580E">
              <w:trPr>
                <w:tblCellSpacing w:w="15" w:type="dxa"/>
              </w:trPr>
              <w:tc>
                <w:tcPr>
                  <w:tcW w:w="2446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4B580E" w:rsidRPr="004B580E" w:rsidRDefault="004B580E" w:rsidP="004B580E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新型專利</w:t>
                  </w:r>
                </w:p>
              </w:tc>
              <w:tc>
                <w:tcPr>
                  <w:tcW w:w="2462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4B580E" w:rsidRPr="004B580E" w:rsidRDefault="004B580E" w:rsidP="004B580E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 xml:space="preserve">15 </w:t>
                  </w: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年</w:t>
                  </w:r>
                  <w:r w:rsidRPr="004B580E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（保護年限在</w:t>
                  </w: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全球屬於偏長者</w:t>
                  </w:r>
                  <w:r w:rsidRPr="004B580E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）</w:t>
                  </w:r>
                </w:p>
              </w:tc>
              <w:tc>
                <w:tcPr>
                  <w:tcW w:w="2461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4B580E" w:rsidRPr="004B580E" w:rsidRDefault="004B580E" w:rsidP="004B580E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全面實體審查制</w:t>
                  </w:r>
                  <w:r w:rsidRPr="004B580E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（</w:t>
                  </w: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必須審查進步性</w:t>
                  </w:r>
                  <w:r w:rsidRPr="004B580E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）</w:t>
                  </w:r>
                </w:p>
              </w:tc>
              <w:tc>
                <w:tcPr>
                  <w:tcW w:w="2447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4B580E" w:rsidRPr="004B580E" w:rsidRDefault="004B580E" w:rsidP="004B580E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4B580E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針對實體物品（如工具、器具）在形狀、結構上，能提升其使用功能或製造效益的全新改良（</w:t>
                  </w: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排除方法</w:t>
                  </w: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/</w:t>
                  </w: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製程</w:t>
                  </w:r>
                  <w:r w:rsidRPr="004B580E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）。</w:t>
                  </w:r>
                </w:p>
              </w:tc>
            </w:tr>
            <w:tr w:rsidR="004B580E" w:rsidRPr="00327D7E" w:rsidTr="004B580E">
              <w:trPr>
                <w:tblCellSpacing w:w="15" w:type="dxa"/>
              </w:trPr>
              <w:tc>
                <w:tcPr>
                  <w:tcW w:w="2446" w:type="dxa"/>
                  <w:tcBorders>
                    <w:bottom w:val="nil"/>
                  </w:tcBorders>
                  <w:vAlign w:val="center"/>
                  <w:hideMark/>
                </w:tcPr>
                <w:p w:rsidR="004B580E" w:rsidRPr="004B580E" w:rsidRDefault="004B580E" w:rsidP="004B580E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工業設計</w:t>
                  </w:r>
                  <w:r w:rsidRPr="004B580E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br/>
                  </w:r>
                  <w:r w:rsidRPr="00327D7E">
                    <w:rPr>
                      <w:rFonts w:ascii="Arial" w:eastAsia="新細明體" w:hAnsi="Arial" w:cs="Arial"/>
                      <w:i/>
                      <w:iCs/>
                      <w:kern w:val="0"/>
                      <w:sz w:val="20"/>
                      <w:szCs w:val="20"/>
                    </w:rPr>
                    <w:t>(</w:t>
                  </w:r>
                  <w:r w:rsidRPr="00327D7E">
                    <w:rPr>
                      <w:rFonts w:ascii="Arial" w:eastAsia="新細明體" w:hAnsi="Arial" w:cs="Arial"/>
                      <w:i/>
                      <w:iCs/>
                      <w:kern w:val="0"/>
                      <w:sz w:val="20"/>
                      <w:szCs w:val="20"/>
                    </w:rPr>
                    <w:t>即設計專利</w:t>
                  </w:r>
                  <w:r w:rsidRPr="00327D7E">
                    <w:rPr>
                      <w:rFonts w:ascii="Arial" w:eastAsia="新細明體" w:hAnsi="Arial" w:cs="Arial"/>
                      <w:i/>
                      <w:iCs/>
                      <w:kern w:val="0"/>
                      <w:sz w:val="20"/>
                      <w:szCs w:val="20"/>
                    </w:rPr>
                    <w:t>)</w:t>
                  </w:r>
                </w:p>
              </w:tc>
              <w:tc>
                <w:tcPr>
                  <w:tcW w:w="2462" w:type="dxa"/>
                  <w:tcBorders>
                    <w:bottom w:val="nil"/>
                  </w:tcBorders>
                  <w:vAlign w:val="center"/>
                  <w:hideMark/>
                </w:tcPr>
                <w:p w:rsidR="004B580E" w:rsidRPr="004B580E" w:rsidRDefault="004B580E" w:rsidP="004B580E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 xml:space="preserve">10 </w:t>
                  </w: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年</w:t>
                  </w:r>
                  <w:r w:rsidRPr="004B580E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（可展延</w:t>
                  </w:r>
                  <w:r w:rsidRPr="004B580E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 xml:space="preserve"> 3 </w:t>
                  </w:r>
                  <w:r w:rsidRPr="004B580E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次，每次</w:t>
                  </w:r>
                  <w:r w:rsidRPr="004B580E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5</w:t>
                  </w:r>
                  <w:r w:rsidRPr="004B580E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年，最長</w:t>
                  </w:r>
                  <w:r w:rsidRPr="004B580E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 xml:space="preserve"> </w:t>
                  </w: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 xml:space="preserve">25 </w:t>
                  </w: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年</w:t>
                  </w:r>
                  <w:r w:rsidRPr="004B580E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）</w:t>
                  </w:r>
                </w:p>
              </w:tc>
              <w:tc>
                <w:tcPr>
                  <w:tcW w:w="2461" w:type="dxa"/>
                  <w:tcBorders>
                    <w:bottom w:val="nil"/>
                  </w:tcBorders>
                  <w:vAlign w:val="center"/>
                  <w:hideMark/>
                </w:tcPr>
                <w:p w:rsidR="004B580E" w:rsidRPr="004B580E" w:rsidRDefault="004B580E" w:rsidP="004B580E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登記制</w:t>
                  </w: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 xml:space="preserve"> / </w:t>
                  </w: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形式審查</w:t>
                  </w:r>
                  <w:r w:rsidRPr="004B580E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（可後置申請實體審查）</w:t>
                  </w:r>
                </w:p>
              </w:tc>
              <w:tc>
                <w:tcPr>
                  <w:tcW w:w="2447" w:type="dxa"/>
                  <w:tcBorders>
                    <w:bottom w:val="nil"/>
                  </w:tcBorders>
                  <w:vAlign w:val="center"/>
                  <w:hideMark/>
                </w:tcPr>
                <w:p w:rsidR="004B580E" w:rsidRPr="004B580E" w:rsidRDefault="004B580E" w:rsidP="004B580E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4B580E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產品全部或部分的創新外形、線條、色彩或圖案等具備可工業再現性的外觀特徵。</w:t>
                  </w:r>
                </w:p>
              </w:tc>
            </w:tr>
          </w:tbl>
          <w:p w:rsidR="00221986" w:rsidRPr="00327D7E" w:rsidRDefault="00221986" w:rsidP="0038473A">
            <w:pPr>
              <w:jc w:val="center"/>
              <w:rPr>
                <w:sz w:val="20"/>
                <w:szCs w:val="20"/>
              </w:rPr>
            </w:pPr>
          </w:p>
        </w:tc>
      </w:tr>
      <w:tr w:rsidR="00221986" w:rsidRPr="00327D7E" w:rsidTr="0038473A">
        <w:tc>
          <w:tcPr>
            <w:tcW w:w="416" w:type="dxa"/>
            <w:vAlign w:val="center"/>
          </w:tcPr>
          <w:p w:rsidR="00221986" w:rsidRPr="00327D7E" w:rsidRDefault="00221986" w:rsidP="0038473A">
            <w:pPr>
              <w:jc w:val="center"/>
              <w:rPr>
                <w:sz w:val="20"/>
                <w:szCs w:val="20"/>
              </w:rPr>
            </w:pPr>
            <w:r w:rsidRPr="00327D7E">
              <w:rPr>
                <w:rFonts w:hint="eastAsia"/>
                <w:sz w:val="20"/>
                <w:szCs w:val="20"/>
              </w:rPr>
              <w:t>申請要點</w:t>
            </w:r>
          </w:p>
        </w:tc>
        <w:tc>
          <w:tcPr>
            <w:tcW w:w="10182" w:type="dxa"/>
          </w:tcPr>
          <w:p w:rsidR="004B580E" w:rsidRPr="004B580E" w:rsidRDefault="004B580E" w:rsidP="00B67052">
            <w:pPr>
              <w:widowControl/>
              <w:numPr>
                <w:ilvl w:val="0"/>
                <w:numId w:val="39"/>
              </w:numPr>
              <w:ind w:left="0"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327D7E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327D7E">
              <w:rPr>
                <w:rFonts w:ascii="新細明體" w:eastAsia="新細明體" w:hAnsi="Symbol" w:cs="新細明體" w:hint="eastAsia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新型專利亦須審查「進步性」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：與許多國家（如台、中、法、日）不同，巴西的新型專利（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MU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）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並非登記制，而是強制實體審查，且審查標準中包含「進步性（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Inventive Step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）」要求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。雖然其進步性門檻略低於發明專利，但仍需耗費數年審查，佈局時需特別注意。</w:t>
            </w:r>
          </w:p>
          <w:p w:rsidR="004B580E" w:rsidRPr="004B580E" w:rsidRDefault="004B580E" w:rsidP="00B67052">
            <w:pPr>
              <w:widowControl/>
              <w:numPr>
                <w:ilvl w:val="0"/>
                <w:numId w:val="39"/>
              </w:numPr>
              <w:ind w:left="0"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327D7E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327D7E">
              <w:rPr>
                <w:rFonts w:ascii="新細明體" w:eastAsia="新細明體" w:hAnsi="Symbol" w:cs="新細明體" w:hint="eastAsia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徹底廢除「最低保護年限保障」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：巴西過去為了補償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 xml:space="preserve"> INPI 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審查過慢，法律規定發明專利自「核准日起算」至少有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 xml:space="preserve"> 10 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年、新型至少有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 xml:space="preserve"> 7 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年的保證期（即使加上排隊時間超過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20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年也適用）。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最高法院已正式宣告該條款</w:t>
            </w:r>
            <w:proofErr w:type="gramStart"/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違憲並廢除</w:t>
            </w:r>
            <w:proofErr w:type="gramEnd"/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，現一律嚴格執行自「申請日起算」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20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年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/15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年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。</w:t>
            </w:r>
          </w:p>
          <w:p w:rsidR="004B580E" w:rsidRPr="004B580E" w:rsidRDefault="004B580E" w:rsidP="00B67052">
            <w:pPr>
              <w:widowControl/>
              <w:numPr>
                <w:ilvl w:val="0"/>
                <w:numId w:val="39"/>
              </w:numPr>
              <w:ind w:left="0"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327D7E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327D7E">
              <w:rPr>
                <w:rFonts w:ascii="新細明體" w:eastAsia="新細明體" w:hAnsi="Symbol" w:cs="新細明體" w:hint="eastAsia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提實體審查時限為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 xml:space="preserve"> 36 </w:t>
            </w:r>
            <w:proofErr w:type="gramStart"/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個</w:t>
            </w:r>
            <w:proofErr w:type="gramEnd"/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月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：發明與新型專利必須在申請日（或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 xml:space="preserve"> PCT 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國際申請日）起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 xml:space="preserve">36 </w:t>
            </w:r>
            <w:proofErr w:type="gramStart"/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個</w:t>
            </w:r>
            <w:proofErr w:type="gramEnd"/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月內主動提出實體審查請求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，並繳納審查費，逾期該申請案將直接被視為撤回。</w:t>
            </w:r>
          </w:p>
          <w:p w:rsidR="004B580E" w:rsidRPr="004B580E" w:rsidRDefault="004B580E" w:rsidP="00B67052">
            <w:pPr>
              <w:widowControl/>
              <w:numPr>
                <w:ilvl w:val="0"/>
                <w:numId w:val="39"/>
              </w:numPr>
              <w:ind w:left="0"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327D7E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327D7E">
              <w:rPr>
                <w:rFonts w:ascii="新細明體" w:eastAsia="新細明體" w:hAnsi="Symbol" w:cs="新細明體" w:hint="eastAsia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排除治療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/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手術方法與部分生物科技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：巴西專利法明確規定，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針對人類或動物身體的「手術、治療或診斷方法」無法獲得專利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。</w:t>
            </w:r>
            <w:proofErr w:type="gramStart"/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此外，</w:t>
            </w:r>
            <w:proofErr w:type="gramEnd"/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天然存在的生物體、生物物質、基因組（即使是分離出來的）在巴西也屬於不可專利標的。</w:t>
            </w:r>
          </w:p>
          <w:p w:rsidR="004B580E" w:rsidRPr="004B580E" w:rsidRDefault="004B580E" w:rsidP="00B67052">
            <w:pPr>
              <w:widowControl/>
              <w:numPr>
                <w:ilvl w:val="0"/>
                <w:numId w:val="39"/>
              </w:numPr>
              <w:ind w:left="0"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327D7E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327D7E">
              <w:rPr>
                <w:rFonts w:ascii="新細明體" w:eastAsia="新細明體" w:hAnsi="Symbol" w:cs="新細明體" w:hint="eastAsia"/>
                <w:kern w:val="0"/>
                <w:sz w:val="20"/>
                <w:szCs w:val="20"/>
              </w:rPr>
              <w:t xml:space="preserve"> 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12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個月新穎性寬限期（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Grace Period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）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：巴西提供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 xml:space="preserve">12 </w:t>
            </w:r>
            <w:proofErr w:type="gramStart"/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個</w:t>
            </w:r>
            <w:proofErr w:type="gramEnd"/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月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的新穎性寬限期，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包含「發明人自己（或其授權者）主動公開或銷售」該技術的行為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，在期限內向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 xml:space="preserve"> INPI 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遞交申請不會因此喪失新穎性。</w:t>
            </w:r>
          </w:p>
          <w:p w:rsidR="00221986" w:rsidRPr="00327D7E" w:rsidRDefault="004B580E" w:rsidP="00B67052">
            <w:pPr>
              <w:widowControl/>
              <w:numPr>
                <w:ilvl w:val="0"/>
                <w:numId w:val="39"/>
              </w:numPr>
              <w:ind w:left="0"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327D7E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327D7E">
              <w:rPr>
                <w:rFonts w:ascii="新細明體" w:eastAsia="新細明體" w:hAnsi="Symbol" w:cs="新細明體" w:hint="eastAsia"/>
                <w:kern w:val="0"/>
                <w:sz w:val="20"/>
                <w:szCs w:val="20"/>
              </w:rPr>
              <w:t xml:space="preserve"> </w:t>
            </w:r>
            <w:r w:rsidR="006C5D6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強制委</w:t>
            </w:r>
            <w:r w:rsidR="006C5D6E">
              <w:rPr>
                <w:rFonts w:ascii="Arial" w:eastAsia="新細明體" w:hAnsi="Arial" w:cs="Arial" w:hint="eastAsia"/>
                <w:b/>
                <w:bCs/>
                <w:kern w:val="0"/>
                <w:sz w:val="20"/>
                <w:szCs w:val="20"/>
              </w:rPr>
              <w:t>託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本地代理人與翻譯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：外國申請人若在巴西沒有固定住所或主要營業場所，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必須強制委託居住於巴西當地的註冊專利代理人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，且所有提交給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 xml:space="preserve"> INPI 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的技術文件與權利要求書皆必須翻譯為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葡萄牙文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。</w:t>
            </w:r>
          </w:p>
        </w:tc>
      </w:tr>
      <w:tr w:rsidR="00221986" w:rsidRPr="00327D7E" w:rsidTr="0038473A">
        <w:tc>
          <w:tcPr>
            <w:tcW w:w="416" w:type="dxa"/>
            <w:vAlign w:val="center"/>
          </w:tcPr>
          <w:p w:rsidR="00221986" w:rsidRPr="00327D7E" w:rsidRDefault="00221986" w:rsidP="0038473A">
            <w:pPr>
              <w:jc w:val="center"/>
              <w:rPr>
                <w:sz w:val="20"/>
                <w:szCs w:val="20"/>
              </w:rPr>
            </w:pPr>
            <w:r w:rsidRPr="00327D7E">
              <w:rPr>
                <w:rFonts w:hint="eastAsia"/>
                <w:sz w:val="20"/>
                <w:szCs w:val="20"/>
              </w:rPr>
              <w:t>專利爭議侵權</w:t>
            </w:r>
          </w:p>
        </w:tc>
        <w:tc>
          <w:tcPr>
            <w:tcW w:w="10182" w:type="dxa"/>
          </w:tcPr>
          <w:p w:rsidR="004B580E" w:rsidRPr="004B580E" w:rsidRDefault="004B580E" w:rsidP="00B67052">
            <w:pPr>
              <w:widowControl/>
              <w:numPr>
                <w:ilvl w:val="0"/>
                <w:numId w:val="40"/>
              </w:numPr>
              <w:ind w:left="0"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327D7E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327D7E">
              <w:rPr>
                <w:rFonts w:ascii="新細明體" w:eastAsia="新細明體" w:hAnsi="Symbol" w:cs="新細明體" w:hint="eastAsia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州法院（侵權）與聯邦法院（無效）雙軌管轄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：這是打巴西專利官司最複雜的核心特點：</w:t>
            </w:r>
          </w:p>
          <w:p w:rsidR="004B580E" w:rsidRPr="004B580E" w:rsidRDefault="004B580E" w:rsidP="00B67052">
            <w:pPr>
              <w:widowControl/>
              <w:numPr>
                <w:ilvl w:val="1"/>
                <w:numId w:val="40"/>
              </w:numPr>
              <w:ind w:left="0"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327D7E">
              <w:rPr>
                <w:rFonts w:ascii="Arial" w:eastAsia="新細明體" w:hAnsi="Arial" w:cs="Arial" w:hint="eastAsia"/>
                <w:b/>
                <w:bCs/>
                <w:kern w:val="0"/>
                <w:sz w:val="20"/>
                <w:szCs w:val="20"/>
              </w:rPr>
              <w:t xml:space="preserve">  </w:t>
            </w:r>
            <w:r w:rsidRPr="00327D7E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327D7E">
              <w:rPr>
                <w:rFonts w:ascii="新細明體" w:eastAsia="新細明體" w:hAnsi="Symbol" w:cs="新細明體" w:hint="eastAsia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侵權訴訟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：由各省的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州法院（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State Courts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）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民事庭管轄。</w:t>
            </w:r>
          </w:p>
          <w:p w:rsidR="004B580E" w:rsidRPr="004B580E" w:rsidRDefault="004B580E" w:rsidP="00B67052">
            <w:pPr>
              <w:widowControl/>
              <w:numPr>
                <w:ilvl w:val="1"/>
                <w:numId w:val="40"/>
              </w:numPr>
              <w:ind w:left="0"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327D7E">
              <w:rPr>
                <w:rFonts w:ascii="新細明體" w:eastAsia="新細明體" w:hAnsi="Symbol" w:cs="新細明體" w:hint="eastAsia"/>
                <w:kern w:val="0"/>
                <w:sz w:val="20"/>
                <w:szCs w:val="20"/>
              </w:rPr>
              <w:t xml:space="preserve">  </w:t>
            </w:r>
            <w:r w:rsidRPr="00327D7E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327D7E">
              <w:rPr>
                <w:rFonts w:ascii="新細明體" w:eastAsia="新細明體" w:hAnsi="Symbol" w:cs="新細明體" w:hint="eastAsia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無效宣告訴訟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：若被告反訴專利無效，該無效訴訟必須移交給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聯邦法院（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Federal Courts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）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審理（因為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 xml:space="preserve"> INPI 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是中央聯邦機構，必須作為被告參加訴訟）。</w:t>
            </w:r>
            <w:proofErr w:type="gramStart"/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這常導致</w:t>
            </w:r>
            <w:proofErr w:type="gramEnd"/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侵權與無效在兩個截然不同的法院系統中雙軌並行、甚至互相等待。</w:t>
            </w:r>
          </w:p>
          <w:p w:rsidR="004B580E" w:rsidRPr="004B580E" w:rsidRDefault="004B580E" w:rsidP="00B67052">
            <w:pPr>
              <w:widowControl/>
              <w:numPr>
                <w:ilvl w:val="0"/>
                <w:numId w:val="40"/>
              </w:numPr>
              <w:ind w:left="0"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327D7E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327D7E">
              <w:rPr>
                <w:rFonts w:ascii="新細明體" w:eastAsia="新細明體" w:hAnsi="Symbol" w:cs="新細明體" w:hint="eastAsia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判定原則（字面文義與等同原則）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</w:t>
            </w:r>
          </w:p>
          <w:p w:rsidR="004B580E" w:rsidRPr="004B580E" w:rsidRDefault="004B580E" w:rsidP="00B67052">
            <w:pPr>
              <w:widowControl/>
              <w:numPr>
                <w:ilvl w:val="1"/>
                <w:numId w:val="40"/>
              </w:numPr>
              <w:ind w:left="0"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327D7E">
              <w:rPr>
                <w:rFonts w:ascii="Arial" w:eastAsia="新細明體" w:hAnsi="Arial" w:cs="Arial" w:hint="eastAsia"/>
                <w:kern w:val="0"/>
                <w:sz w:val="20"/>
                <w:szCs w:val="20"/>
              </w:rPr>
              <w:t xml:space="preserve">  </w:t>
            </w:r>
            <w:r w:rsidRPr="00327D7E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327D7E">
              <w:rPr>
                <w:rFonts w:ascii="新細明體" w:eastAsia="新細明體" w:hAnsi="Symbol" w:cs="新細明體" w:hint="eastAsia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巴西法院在技術侵權判定上，首要採用</w:t>
            </w:r>
            <w:proofErr w:type="gramStart"/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文義侵權</w:t>
            </w:r>
            <w:proofErr w:type="gramEnd"/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（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Literal Infringement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）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與全要件原則。</w:t>
            </w:r>
          </w:p>
          <w:p w:rsidR="004B580E" w:rsidRPr="004B580E" w:rsidRDefault="004B580E" w:rsidP="00B67052">
            <w:pPr>
              <w:widowControl/>
              <w:numPr>
                <w:ilvl w:val="1"/>
                <w:numId w:val="40"/>
              </w:numPr>
              <w:ind w:left="0"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327D7E">
              <w:rPr>
                <w:rFonts w:ascii="Arial" w:eastAsia="新細明體" w:hAnsi="Arial" w:cs="Arial" w:hint="eastAsia"/>
                <w:kern w:val="0"/>
                <w:sz w:val="20"/>
                <w:szCs w:val="20"/>
              </w:rPr>
              <w:t xml:space="preserve">  </w:t>
            </w:r>
            <w:r w:rsidRPr="00327D7E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327D7E">
              <w:rPr>
                <w:rFonts w:ascii="新細明體" w:eastAsia="新細明體" w:hAnsi="Symbol" w:cs="新細明體" w:hint="eastAsia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巴西法律亦承認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等同原則（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Doctrine of Equivalents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）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。如果被控</w:t>
            </w:r>
            <w:proofErr w:type="gramStart"/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侵權物是</w:t>
            </w:r>
            <w:proofErr w:type="gramEnd"/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以「實質相同的手段」，實現「實質相同的功能」，並達到「實質相同的效果」，且該置換對該領域技術人員而言是顯而易見的，仍構成侵權。</w:t>
            </w:r>
          </w:p>
          <w:p w:rsidR="004B580E" w:rsidRPr="004B580E" w:rsidRDefault="004B580E" w:rsidP="00B67052">
            <w:pPr>
              <w:widowControl/>
              <w:numPr>
                <w:ilvl w:val="0"/>
                <w:numId w:val="40"/>
              </w:numPr>
              <w:ind w:left="0"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327D7E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327D7E">
              <w:rPr>
                <w:rFonts w:ascii="新細明體" w:eastAsia="新細明體" w:hAnsi="Symbol" w:cs="新細明體" w:hint="eastAsia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快速的臨時禁令（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Preliminary Injunctions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）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：雖然最終判決可能因法院雙軌制而拖延數年，但巴西州法院的法官在訴訟初期，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相當願意在原告提供初步證據或擔保的情況下，快速簽發「臨時禁令（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PI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）」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，強制被告立即停工、停售或扣押侵權貨品，是權利人極佳的卡位武器。</w:t>
            </w:r>
          </w:p>
          <w:p w:rsidR="004B580E" w:rsidRPr="004B580E" w:rsidRDefault="004B580E" w:rsidP="00B67052">
            <w:pPr>
              <w:widowControl/>
              <w:numPr>
                <w:ilvl w:val="0"/>
                <w:numId w:val="40"/>
              </w:numPr>
              <w:ind w:left="0"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327D7E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327D7E">
              <w:rPr>
                <w:rFonts w:ascii="新細明體" w:eastAsia="新細明體" w:hAnsi="Symbol" w:cs="新細明體" w:hint="eastAsia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刑事起訴與突擊搜查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：在巴西，專利侵權亦屬於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刑事犯罪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（由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 xml:space="preserve"> LPI 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規範）。專利權人可以向警方報案，申請刑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lastRenderedPageBreak/>
              <w:t>事搜查令和扣押令，直接前往涉嫌侵權者的工廠、倉庫進行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突擊搜查並查封侵權商品與生產機具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。</w:t>
            </w:r>
          </w:p>
          <w:p w:rsidR="004B580E" w:rsidRPr="004B580E" w:rsidRDefault="004B580E" w:rsidP="00B67052">
            <w:pPr>
              <w:widowControl/>
              <w:numPr>
                <w:ilvl w:val="0"/>
                <w:numId w:val="40"/>
              </w:numPr>
              <w:ind w:left="0"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327D7E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327D7E">
              <w:rPr>
                <w:rFonts w:ascii="新細明體" w:eastAsia="新細明體" w:hAnsi="Symbol" w:cs="新細明體" w:hint="eastAsia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損害賠償與利潤損失的推定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：原告在州法院</w:t>
            </w:r>
            <w:proofErr w:type="gramStart"/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打贏侵權</w:t>
            </w:r>
            <w:proofErr w:type="gramEnd"/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官司後，損害賠償可以依據以下三者中「對權利人最有利」的方式計算：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 xml:space="preserve">1. 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權利人因侵權所受的實際損失；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 xml:space="preserve">2. 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侵權人因侵權所獲得的非法利潤；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 xml:space="preserve">3. 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侵權人若獲得合法授權原本應支付的權利金。</w:t>
            </w:r>
          </w:p>
          <w:p w:rsidR="00221986" w:rsidRPr="00327D7E" w:rsidRDefault="004B580E" w:rsidP="00B67052">
            <w:pPr>
              <w:widowControl/>
              <w:numPr>
                <w:ilvl w:val="0"/>
                <w:numId w:val="40"/>
              </w:numPr>
              <w:ind w:left="0"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327D7E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327D7E">
              <w:rPr>
                <w:rFonts w:ascii="新細明體" w:eastAsia="新細明體" w:hAnsi="Symbol" w:cs="新細明體" w:hint="eastAsia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消滅時效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：專利侵權民事訴訟的追訴與損害賠償請求權時效，為自侵權行為發生之日起算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 xml:space="preserve">5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年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。</w:t>
            </w:r>
          </w:p>
        </w:tc>
      </w:tr>
    </w:tbl>
    <w:p w:rsidR="0000519D" w:rsidRPr="00327D7E" w:rsidRDefault="0000519D">
      <w:pPr>
        <w:widowControl/>
        <w:rPr>
          <w:sz w:val="20"/>
          <w:szCs w:val="20"/>
        </w:rPr>
      </w:pPr>
    </w:p>
    <w:sectPr w:rsidR="0000519D" w:rsidRPr="00327D7E" w:rsidSect="002B2418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371825"/>
    <w:multiLevelType w:val="multilevel"/>
    <w:tmpl w:val="CFB87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6D42204"/>
    <w:multiLevelType w:val="multilevel"/>
    <w:tmpl w:val="79788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A2A0D8B"/>
    <w:multiLevelType w:val="multilevel"/>
    <w:tmpl w:val="66F2A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A4E7D4E"/>
    <w:multiLevelType w:val="multilevel"/>
    <w:tmpl w:val="EACC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CDD20A1"/>
    <w:multiLevelType w:val="multilevel"/>
    <w:tmpl w:val="D4544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34205A6"/>
    <w:multiLevelType w:val="multilevel"/>
    <w:tmpl w:val="E6609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3CE7B6F"/>
    <w:multiLevelType w:val="multilevel"/>
    <w:tmpl w:val="391AFD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14A35C8A"/>
    <w:multiLevelType w:val="multilevel"/>
    <w:tmpl w:val="C1765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BE26F2B"/>
    <w:multiLevelType w:val="multilevel"/>
    <w:tmpl w:val="4CFCC0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1E8A5424"/>
    <w:multiLevelType w:val="multilevel"/>
    <w:tmpl w:val="44804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34A7591"/>
    <w:multiLevelType w:val="multilevel"/>
    <w:tmpl w:val="0C22B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6ED130E"/>
    <w:multiLevelType w:val="multilevel"/>
    <w:tmpl w:val="603C6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A8B42EE"/>
    <w:multiLevelType w:val="multilevel"/>
    <w:tmpl w:val="B4048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BEC47AA"/>
    <w:multiLevelType w:val="multilevel"/>
    <w:tmpl w:val="F0465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0416C7D"/>
    <w:multiLevelType w:val="multilevel"/>
    <w:tmpl w:val="73446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5361767"/>
    <w:multiLevelType w:val="multilevel"/>
    <w:tmpl w:val="E612D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60A603E"/>
    <w:multiLevelType w:val="multilevel"/>
    <w:tmpl w:val="C4F2E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D43061D"/>
    <w:multiLevelType w:val="multilevel"/>
    <w:tmpl w:val="5DE21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1773A08"/>
    <w:multiLevelType w:val="multilevel"/>
    <w:tmpl w:val="FC8AD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2880F7B"/>
    <w:multiLevelType w:val="multilevel"/>
    <w:tmpl w:val="10AE5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75C6478"/>
    <w:multiLevelType w:val="multilevel"/>
    <w:tmpl w:val="56C40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7C21A57"/>
    <w:multiLevelType w:val="multilevel"/>
    <w:tmpl w:val="703AE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485B183E"/>
    <w:multiLevelType w:val="multilevel"/>
    <w:tmpl w:val="52003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4A240B92"/>
    <w:multiLevelType w:val="multilevel"/>
    <w:tmpl w:val="279275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4B0304A6"/>
    <w:multiLevelType w:val="multilevel"/>
    <w:tmpl w:val="E7C4F4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506B60D2"/>
    <w:multiLevelType w:val="multilevel"/>
    <w:tmpl w:val="5936D82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54F4622B"/>
    <w:multiLevelType w:val="multilevel"/>
    <w:tmpl w:val="B3B80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590A1B6C"/>
    <w:multiLevelType w:val="multilevel"/>
    <w:tmpl w:val="7E9E1910"/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5B20128F"/>
    <w:multiLevelType w:val="multilevel"/>
    <w:tmpl w:val="579EB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5B632E3B"/>
    <w:multiLevelType w:val="multilevel"/>
    <w:tmpl w:val="98B6F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5BA64B85"/>
    <w:multiLevelType w:val="multilevel"/>
    <w:tmpl w:val="D99CEBD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>
    <w:nsid w:val="5BCC6494"/>
    <w:multiLevelType w:val="multilevel"/>
    <w:tmpl w:val="94FAC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5CE74F33"/>
    <w:multiLevelType w:val="multilevel"/>
    <w:tmpl w:val="4876518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>
    <w:nsid w:val="5F9772EE"/>
    <w:multiLevelType w:val="multilevel"/>
    <w:tmpl w:val="E1A64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603A490D"/>
    <w:multiLevelType w:val="multilevel"/>
    <w:tmpl w:val="8F6A4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608B7C6C"/>
    <w:multiLevelType w:val="multilevel"/>
    <w:tmpl w:val="FCE22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636C02A7"/>
    <w:multiLevelType w:val="multilevel"/>
    <w:tmpl w:val="D97CF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64C704CD"/>
    <w:multiLevelType w:val="multilevel"/>
    <w:tmpl w:val="A6FC9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67322985"/>
    <w:multiLevelType w:val="multilevel"/>
    <w:tmpl w:val="2C925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68C75A7A"/>
    <w:multiLevelType w:val="multilevel"/>
    <w:tmpl w:val="7F541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69801B25"/>
    <w:multiLevelType w:val="multilevel"/>
    <w:tmpl w:val="01BCC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6AB32F3D"/>
    <w:multiLevelType w:val="multilevel"/>
    <w:tmpl w:val="CFF80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6B0322E6"/>
    <w:multiLevelType w:val="multilevel"/>
    <w:tmpl w:val="12DE4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6C2B6BC2"/>
    <w:multiLevelType w:val="multilevel"/>
    <w:tmpl w:val="6F848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6E091374"/>
    <w:multiLevelType w:val="multilevel"/>
    <w:tmpl w:val="DCBEF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71D53EBA"/>
    <w:multiLevelType w:val="multilevel"/>
    <w:tmpl w:val="4B72B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7CB165E1"/>
    <w:multiLevelType w:val="multilevel"/>
    <w:tmpl w:val="79E6F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7EDB6807"/>
    <w:multiLevelType w:val="multilevel"/>
    <w:tmpl w:val="20549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7F77415D"/>
    <w:multiLevelType w:val="multilevel"/>
    <w:tmpl w:val="79EA8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6"/>
  </w:num>
  <w:num w:numId="2">
    <w:abstractNumId w:val="33"/>
  </w:num>
  <w:num w:numId="3">
    <w:abstractNumId w:val="8"/>
  </w:num>
  <w:num w:numId="4">
    <w:abstractNumId w:val="21"/>
  </w:num>
  <w:num w:numId="5">
    <w:abstractNumId w:val="45"/>
  </w:num>
  <w:num w:numId="6">
    <w:abstractNumId w:val="39"/>
  </w:num>
  <w:num w:numId="7">
    <w:abstractNumId w:val="11"/>
  </w:num>
  <w:num w:numId="8">
    <w:abstractNumId w:val="0"/>
  </w:num>
  <w:num w:numId="9">
    <w:abstractNumId w:val="25"/>
  </w:num>
  <w:num w:numId="10">
    <w:abstractNumId w:val="41"/>
  </w:num>
  <w:num w:numId="11">
    <w:abstractNumId w:val="22"/>
  </w:num>
  <w:num w:numId="12">
    <w:abstractNumId w:val="6"/>
  </w:num>
  <w:num w:numId="13">
    <w:abstractNumId w:val="14"/>
  </w:num>
  <w:num w:numId="14">
    <w:abstractNumId w:val="32"/>
  </w:num>
  <w:num w:numId="15">
    <w:abstractNumId w:val="26"/>
  </w:num>
  <w:num w:numId="16">
    <w:abstractNumId w:val="27"/>
  </w:num>
  <w:num w:numId="17">
    <w:abstractNumId w:val="10"/>
  </w:num>
  <w:num w:numId="18">
    <w:abstractNumId w:val="23"/>
  </w:num>
  <w:num w:numId="19">
    <w:abstractNumId w:val="3"/>
  </w:num>
  <w:num w:numId="20">
    <w:abstractNumId w:val="30"/>
  </w:num>
  <w:num w:numId="21">
    <w:abstractNumId w:val="20"/>
  </w:num>
  <w:num w:numId="22">
    <w:abstractNumId w:val="28"/>
  </w:num>
  <w:num w:numId="23">
    <w:abstractNumId w:val="24"/>
  </w:num>
  <w:num w:numId="24">
    <w:abstractNumId w:val="2"/>
  </w:num>
  <w:num w:numId="25">
    <w:abstractNumId w:val="40"/>
  </w:num>
  <w:num w:numId="26">
    <w:abstractNumId w:val="9"/>
  </w:num>
  <w:num w:numId="27">
    <w:abstractNumId w:val="35"/>
  </w:num>
  <w:num w:numId="28">
    <w:abstractNumId w:val="13"/>
  </w:num>
  <w:num w:numId="29">
    <w:abstractNumId w:val="34"/>
  </w:num>
  <w:num w:numId="30">
    <w:abstractNumId w:val="7"/>
  </w:num>
  <w:num w:numId="31">
    <w:abstractNumId w:val="18"/>
  </w:num>
  <w:num w:numId="32">
    <w:abstractNumId w:val="19"/>
  </w:num>
  <w:num w:numId="33">
    <w:abstractNumId w:val="12"/>
  </w:num>
  <w:num w:numId="34">
    <w:abstractNumId w:val="31"/>
  </w:num>
  <w:num w:numId="35">
    <w:abstractNumId w:val="4"/>
  </w:num>
  <w:num w:numId="36">
    <w:abstractNumId w:val="48"/>
  </w:num>
  <w:num w:numId="37">
    <w:abstractNumId w:val="44"/>
  </w:num>
  <w:num w:numId="38">
    <w:abstractNumId w:val="17"/>
  </w:num>
  <w:num w:numId="39">
    <w:abstractNumId w:val="29"/>
  </w:num>
  <w:num w:numId="40">
    <w:abstractNumId w:val="42"/>
  </w:num>
  <w:num w:numId="41">
    <w:abstractNumId w:val="5"/>
  </w:num>
  <w:num w:numId="42">
    <w:abstractNumId w:val="16"/>
  </w:num>
  <w:num w:numId="43">
    <w:abstractNumId w:val="43"/>
  </w:num>
  <w:num w:numId="44">
    <w:abstractNumId w:val="15"/>
  </w:num>
  <w:num w:numId="45">
    <w:abstractNumId w:val="47"/>
  </w:num>
  <w:num w:numId="46">
    <w:abstractNumId w:val="38"/>
  </w:num>
  <w:num w:numId="47">
    <w:abstractNumId w:val="37"/>
  </w:num>
  <w:num w:numId="48">
    <w:abstractNumId w:val="1"/>
  </w:num>
  <w:num w:numId="49">
    <w:abstractNumId w:val="36"/>
  </w:num>
  <w:numIdMacAtCleanup w:val="4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B2418"/>
    <w:rsid w:val="0000519D"/>
    <w:rsid w:val="000132D8"/>
    <w:rsid w:val="00021DB5"/>
    <w:rsid w:val="00061066"/>
    <w:rsid w:val="00114651"/>
    <w:rsid w:val="00166C9D"/>
    <w:rsid w:val="00207493"/>
    <w:rsid w:val="00221986"/>
    <w:rsid w:val="002268FE"/>
    <w:rsid w:val="002614B9"/>
    <w:rsid w:val="00281ED7"/>
    <w:rsid w:val="002B2418"/>
    <w:rsid w:val="00304F0E"/>
    <w:rsid w:val="00311A04"/>
    <w:rsid w:val="00326595"/>
    <w:rsid w:val="00327D7E"/>
    <w:rsid w:val="00335F1C"/>
    <w:rsid w:val="00335FF7"/>
    <w:rsid w:val="00351403"/>
    <w:rsid w:val="0038473A"/>
    <w:rsid w:val="003934F9"/>
    <w:rsid w:val="003A72A6"/>
    <w:rsid w:val="003D135A"/>
    <w:rsid w:val="003F0011"/>
    <w:rsid w:val="00405226"/>
    <w:rsid w:val="00467E37"/>
    <w:rsid w:val="0047427D"/>
    <w:rsid w:val="004B580E"/>
    <w:rsid w:val="00520620"/>
    <w:rsid w:val="00536559"/>
    <w:rsid w:val="00546396"/>
    <w:rsid w:val="00582563"/>
    <w:rsid w:val="00617FEB"/>
    <w:rsid w:val="0064347F"/>
    <w:rsid w:val="00673D4D"/>
    <w:rsid w:val="0069358F"/>
    <w:rsid w:val="00693E2E"/>
    <w:rsid w:val="006B1F6B"/>
    <w:rsid w:val="006C5D6E"/>
    <w:rsid w:val="00703A18"/>
    <w:rsid w:val="00707DF0"/>
    <w:rsid w:val="00751E8C"/>
    <w:rsid w:val="00764FF5"/>
    <w:rsid w:val="007B3EB0"/>
    <w:rsid w:val="007C4A0E"/>
    <w:rsid w:val="007E4ADC"/>
    <w:rsid w:val="007F3301"/>
    <w:rsid w:val="007F7E9A"/>
    <w:rsid w:val="00800831"/>
    <w:rsid w:val="008164E3"/>
    <w:rsid w:val="00832E41"/>
    <w:rsid w:val="00861D0B"/>
    <w:rsid w:val="00871FC8"/>
    <w:rsid w:val="0087517A"/>
    <w:rsid w:val="00883F16"/>
    <w:rsid w:val="008D1B6E"/>
    <w:rsid w:val="008F4EE6"/>
    <w:rsid w:val="0092228A"/>
    <w:rsid w:val="0093317A"/>
    <w:rsid w:val="0097671F"/>
    <w:rsid w:val="00976859"/>
    <w:rsid w:val="009874D8"/>
    <w:rsid w:val="009E242B"/>
    <w:rsid w:val="009F73AC"/>
    <w:rsid w:val="00A21A77"/>
    <w:rsid w:val="00A24D8F"/>
    <w:rsid w:val="00A31B11"/>
    <w:rsid w:val="00A323F0"/>
    <w:rsid w:val="00A377C6"/>
    <w:rsid w:val="00AE0F46"/>
    <w:rsid w:val="00AF652F"/>
    <w:rsid w:val="00B1669C"/>
    <w:rsid w:val="00B312BB"/>
    <w:rsid w:val="00B63ACC"/>
    <w:rsid w:val="00B67052"/>
    <w:rsid w:val="00B67EFB"/>
    <w:rsid w:val="00B75DE5"/>
    <w:rsid w:val="00B8067C"/>
    <w:rsid w:val="00B80AFA"/>
    <w:rsid w:val="00BA3845"/>
    <w:rsid w:val="00BB209B"/>
    <w:rsid w:val="00BB50E0"/>
    <w:rsid w:val="00C9490D"/>
    <w:rsid w:val="00CF5C39"/>
    <w:rsid w:val="00D222AA"/>
    <w:rsid w:val="00D65FB0"/>
    <w:rsid w:val="00D87E7A"/>
    <w:rsid w:val="00D97121"/>
    <w:rsid w:val="00DB7E6F"/>
    <w:rsid w:val="00DC2B0F"/>
    <w:rsid w:val="00DC65BD"/>
    <w:rsid w:val="00DF138F"/>
    <w:rsid w:val="00E031AE"/>
    <w:rsid w:val="00E143F6"/>
    <w:rsid w:val="00E333F6"/>
    <w:rsid w:val="00E4178B"/>
    <w:rsid w:val="00EE1147"/>
    <w:rsid w:val="00EF323B"/>
    <w:rsid w:val="00F45DFA"/>
    <w:rsid w:val="00F46448"/>
    <w:rsid w:val="00F52C54"/>
    <w:rsid w:val="00F632E2"/>
    <w:rsid w:val="00F7564B"/>
    <w:rsid w:val="00FC24E6"/>
    <w:rsid w:val="00FE2FBD"/>
    <w:rsid w:val="00FF27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2B241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4">
    <w:name w:val="Strong"/>
    <w:basedOn w:val="a0"/>
    <w:uiPriority w:val="22"/>
    <w:qFormat/>
    <w:rsid w:val="002B2418"/>
    <w:rPr>
      <w:b/>
      <w:bCs/>
    </w:rPr>
  </w:style>
  <w:style w:type="character" w:customStyle="1" w:styleId="inqyif">
    <w:name w:val="inqyif"/>
    <w:basedOn w:val="a0"/>
    <w:rsid w:val="002B2418"/>
  </w:style>
  <w:style w:type="paragraph" w:styleId="a5">
    <w:name w:val="List Paragraph"/>
    <w:basedOn w:val="a"/>
    <w:uiPriority w:val="34"/>
    <w:qFormat/>
    <w:rsid w:val="00335FF7"/>
    <w:pPr>
      <w:ind w:leftChars="200" w:left="480"/>
    </w:pPr>
  </w:style>
  <w:style w:type="character" w:styleId="a6">
    <w:name w:val="Hyperlink"/>
    <w:basedOn w:val="a0"/>
    <w:uiPriority w:val="99"/>
    <w:unhideWhenUsed/>
    <w:rsid w:val="00BA3845"/>
    <w:rPr>
      <w:color w:val="0000FF"/>
      <w:u w:val="single"/>
    </w:rPr>
  </w:style>
  <w:style w:type="character" w:styleId="a7">
    <w:name w:val="Emphasis"/>
    <w:basedOn w:val="a0"/>
    <w:uiPriority w:val="20"/>
    <w:qFormat/>
    <w:rsid w:val="00326595"/>
    <w:rPr>
      <w:i/>
      <w:iCs/>
    </w:rPr>
  </w:style>
  <w:style w:type="character" w:customStyle="1" w:styleId="yadgie">
    <w:name w:val="yadgie"/>
    <w:basedOn w:val="a0"/>
    <w:rsid w:val="00D97121"/>
  </w:style>
  <w:style w:type="character" w:styleId="a8">
    <w:name w:val="FollowedHyperlink"/>
    <w:basedOn w:val="a0"/>
    <w:uiPriority w:val="99"/>
    <w:semiHidden/>
    <w:unhideWhenUsed/>
    <w:rsid w:val="00F632E2"/>
    <w:rPr>
      <w:color w:val="80008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2B241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4">
    <w:name w:val="Strong"/>
    <w:basedOn w:val="a0"/>
    <w:uiPriority w:val="22"/>
    <w:qFormat/>
    <w:rsid w:val="002B2418"/>
    <w:rPr>
      <w:b/>
      <w:bCs/>
    </w:rPr>
  </w:style>
  <w:style w:type="character" w:customStyle="1" w:styleId="inqyif">
    <w:name w:val="inqyif"/>
    <w:basedOn w:val="a0"/>
    <w:rsid w:val="002B2418"/>
  </w:style>
  <w:style w:type="paragraph" w:styleId="a5">
    <w:name w:val="List Paragraph"/>
    <w:basedOn w:val="a"/>
    <w:uiPriority w:val="34"/>
    <w:qFormat/>
    <w:rsid w:val="00335FF7"/>
    <w:pPr>
      <w:ind w:leftChars="200" w:left="480"/>
    </w:pPr>
  </w:style>
  <w:style w:type="character" w:styleId="a6">
    <w:name w:val="Hyperlink"/>
    <w:basedOn w:val="a0"/>
    <w:uiPriority w:val="99"/>
    <w:unhideWhenUsed/>
    <w:rsid w:val="00BA3845"/>
    <w:rPr>
      <w:color w:val="0000FF"/>
      <w:u w:val="single"/>
    </w:rPr>
  </w:style>
  <w:style w:type="character" w:styleId="a7">
    <w:name w:val="Emphasis"/>
    <w:basedOn w:val="a0"/>
    <w:uiPriority w:val="20"/>
    <w:qFormat/>
    <w:rsid w:val="00326595"/>
    <w:rPr>
      <w:i/>
      <w:iCs/>
    </w:rPr>
  </w:style>
  <w:style w:type="character" w:customStyle="1" w:styleId="yadgie">
    <w:name w:val="yadgie"/>
    <w:basedOn w:val="a0"/>
    <w:rsid w:val="00D97121"/>
  </w:style>
  <w:style w:type="character" w:styleId="a8">
    <w:name w:val="FollowedHyperlink"/>
    <w:basedOn w:val="a0"/>
    <w:uiPriority w:val="99"/>
    <w:semiHidden/>
    <w:unhideWhenUsed/>
    <w:rsid w:val="00F632E2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202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2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9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5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3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7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69207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01231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48408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34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5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357192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57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2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03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16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28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04484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797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82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761289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035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06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52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64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96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35591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164624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633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43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37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69562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96634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978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926297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395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03933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415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55315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788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30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10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93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79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73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74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631151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178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73031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68172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02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78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62910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694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7843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575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18160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318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1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64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11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1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72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82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63390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662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0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65513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29947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777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18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78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66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75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72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81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97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031424">
                  <w:marLeft w:val="0"/>
                  <w:marRight w:val="0"/>
                  <w:marTop w:val="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4869849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7909043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9518578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035381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0552113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6118884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5755141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0662782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6972525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6073036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0538811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2415950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4448808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9103533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5824436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0872222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7757633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599353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6438497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257485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4067807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726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72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78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54632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37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64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84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76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30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96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64232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526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7914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585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8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65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07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61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28010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637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35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38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74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8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14633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83412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01355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686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3726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59093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635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46889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875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23245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953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27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65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96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11456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328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42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26134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14938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718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14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592241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816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36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28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9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92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88712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501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09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90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22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81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9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7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91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06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gov.br/inpi/pt-br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1D07056-6EF2-4E28-8F8A-0635E881ED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271</Words>
  <Characters>1550</Characters>
  <Application>Microsoft Office Word</Application>
  <DocSecurity>0</DocSecurity>
  <Lines>12</Lines>
  <Paragraphs>3</Paragraphs>
  <ScaleCrop>false</ScaleCrop>
  <Company/>
  <LinksUpToDate>false</LinksUpToDate>
  <CharactersWithSpaces>1818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6</cp:revision>
  <dcterms:created xsi:type="dcterms:W3CDTF">2026-08-05T00:51:00Z</dcterms:created>
  <dcterms:modified xsi:type="dcterms:W3CDTF">2026-09-04T03:16:00Z</dcterms:modified>
</cp:coreProperties>
</file>