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831" w:rsidRPr="00327D7E" w:rsidRDefault="00EF323B" w:rsidP="0069358F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德</w:t>
      </w:r>
      <w:r w:rsidR="00800831" w:rsidRPr="00327D7E">
        <w:rPr>
          <w:rFonts w:hint="eastAsia"/>
          <w:sz w:val="20"/>
          <w:szCs w:val="20"/>
        </w:rPr>
        <w:t>國</w:t>
      </w:r>
      <w:r w:rsidR="00536559">
        <w:rPr>
          <w:rFonts w:hint="eastAsia"/>
          <w:sz w:val="20"/>
          <w:szCs w:val="20"/>
        </w:rPr>
        <w:t>專利</w:t>
      </w:r>
    </w:p>
    <w:p w:rsidR="00800831" w:rsidRPr="00327D7E" w:rsidRDefault="00DF138F" w:rsidP="00D65FB0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EPO</w:t>
      </w:r>
      <w:r w:rsidR="00D65FB0" w:rsidRPr="00327D7E">
        <w:rPr>
          <w:rFonts w:hint="eastAsia"/>
          <w:sz w:val="20"/>
          <w:szCs w:val="20"/>
        </w:rPr>
        <w:t>網址：</w:t>
      </w:r>
      <w:r w:rsidR="00737561">
        <w:rPr>
          <w:sz w:val="20"/>
          <w:szCs w:val="20"/>
        </w:rPr>
        <w:fldChar w:fldCharType="begin"/>
      </w:r>
      <w:r w:rsidR="00737561">
        <w:rPr>
          <w:sz w:val="20"/>
          <w:szCs w:val="20"/>
        </w:rPr>
        <w:instrText xml:space="preserve"> HYPERLINK "</w:instrText>
      </w:r>
      <w:r w:rsidR="00737561" w:rsidRPr="00003B64">
        <w:rPr>
          <w:sz w:val="20"/>
          <w:szCs w:val="20"/>
        </w:rPr>
        <w:instrText>https://www.dpma.de/</w:instrText>
      </w:r>
      <w:r w:rsidR="00737561">
        <w:rPr>
          <w:sz w:val="20"/>
          <w:szCs w:val="20"/>
        </w:rPr>
        <w:instrText xml:space="preserve">" </w:instrText>
      </w:r>
      <w:r w:rsidR="00737561">
        <w:rPr>
          <w:sz w:val="20"/>
          <w:szCs w:val="20"/>
        </w:rPr>
        <w:fldChar w:fldCharType="separate"/>
      </w:r>
      <w:r w:rsidR="00737561" w:rsidRPr="00A7011C">
        <w:rPr>
          <w:rStyle w:val="a6"/>
          <w:sz w:val="20"/>
          <w:szCs w:val="20"/>
        </w:rPr>
        <w:t>https://www.dpma.de/</w:t>
      </w:r>
      <w:r w:rsidR="00737561">
        <w:rPr>
          <w:sz w:val="20"/>
          <w:szCs w:val="20"/>
        </w:rPr>
        <w:fldChar w:fldCharType="end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EF323B" w:rsidRPr="00327D7E" w:rsidTr="00861D0B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EF323B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保護客體與特點</w:t>
                  </w:r>
                </w:p>
              </w:tc>
            </w:tr>
            <w:tr w:rsidR="00EF323B" w:rsidRPr="00327D7E" w:rsidTr="00C9490D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871FC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發明專利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 xml:space="preserve"> (Patent)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自申請日起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（需於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7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年內提請實審）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適用於高技術含量的產品或「方法」（製造方法、使用方法）。</w:t>
                  </w:r>
                </w:p>
              </w:tc>
            </w:tr>
            <w:tr w:rsidR="00EF323B" w:rsidRPr="00327D7E" w:rsidTr="00C9490D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871FC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新型專利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 xml:space="preserve"> (Utility Model)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自申請日起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（登記註冊制，不進行實審）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僅保護產品的技術結構，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不保護「方法」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。審查速度極快。</w:t>
                  </w:r>
                </w:p>
              </w:tc>
            </w:tr>
            <w:tr w:rsidR="00EF323B" w:rsidRPr="00327D7E" w:rsidTr="00C9490D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871FC8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設計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 xml:space="preserve"> (Design)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自申請日起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25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（登記註冊制，不進行實審）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EF323B" w:rsidRPr="00327D7E" w:rsidRDefault="00EF323B" w:rsidP="00C9490D">
                  <w:pPr>
                    <w:widowControl/>
                    <w:jc w:val="both"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保護產品的外觀、形狀、色彩或圖案。</w:t>
                  </w:r>
                </w:p>
              </w:tc>
            </w:tr>
          </w:tbl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EF323B" w:rsidRPr="00327D7E" w:rsidRDefault="00EF323B" w:rsidP="00B67052">
            <w:pPr>
              <w:widowControl/>
              <w:numPr>
                <w:ilvl w:val="0"/>
                <w:numId w:val="1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>發明、新型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三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要件</w:t>
            </w:r>
          </w:p>
          <w:p w:rsidR="00EF323B" w:rsidRPr="00327D7E" w:rsidRDefault="00B312BB" w:rsidP="00B67052">
            <w:pPr>
              <w:widowControl/>
              <w:numPr>
                <w:ilvl w:val="0"/>
                <w:numId w:val="1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產業上利用性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(Industrial Applicability)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：發明必須能在任何一種產業（包含製造業、農業等）中製造或使用。</w:t>
            </w:r>
          </w:p>
          <w:p w:rsidR="00EF323B" w:rsidRPr="00327D7E" w:rsidRDefault="00B312BB" w:rsidP="00B67052">
            <w:pPr>
              <w:widowControl/>
              <w:numPr>
                <w:ilvl w:val="0"/>
                <w:numId w:val="1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(Novelty)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：發明必須是</w:t>
            </w:r>
            <w:r w:rsidR="00EF323B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全新的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。在申請日或優先權日之前，世界上尚未出現過任何公開的相同技術。</w:t>
            </w:r>
          </w:p>
          <w:p w:rsidR="00EF323B" w:rsidRPr="00327D7E" w:rsidRDefault="00B312BB" w:rsidP="00B67052">
            <w:pPr>
              <w:widowControl/>
              <w:numPr>
                <w:ilvl w:val="0"/>
                <w:numId w:val="1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進步性</w:t>
            </w:r>
            <w:r w:rsidR="00EF323B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(Inventive Step)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：發明必須具有</w:t>
            </w:r>
            <w:r w:rsidR="00EF323B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技術突破</w:t>
            </w:r>
            <w:r w:rsidR="00EF323B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。所屬技術領域的專業人士，不能僅憑現有的技術輕易組合或改變來完成您的發明。</w:t>
            </w:r>
          </w:p>
          <w:p w:rsidR="00CF5C39" w:rsidRPr="00327D7E" w:rsidRDefault="00CF5C39" w:rsidP="00B67052">
            <w:pPr>
              <w:widowControl/>
              <w:numPr>
                <w:ilvl w:val="0"/>
                <w:numId w:val="1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設計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(Design)</w:t>
            </w:r>
          </w:p>
          <w:p w:rsidR="00CF5C39" w:rsidRPr="00327D7E" w:rsidRDefault="00B312BB" w:rsidP="00B67052">
            <w:pPr>
              <w:widowControl/>
              <w:numPr>
                <w:ilvl w:val="0"/>
                <w:numId w:val="1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CF5C39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純外觀保護</w:t>
            </w:r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：僅保護產品的視覺外觀（如線條、輪廓、色彩、形狀或材料裝飾），不涉及任何技術功能。</w:t>
            </w:r>
          </w:p>
          <w:p w:rsidR="00800831" w:rsidRPr="00327D7E" w:rsidRDefault="00B312BB" w:rsidP="00B67052">
            <w:pPr>
              <w:widowControl/>
              <w:numPr>
                <w:ilvl w:val="0"/>
                <w:numId w:val="1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CF5C39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快速註冊</w:t>
            </w:r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：同樣</w:t>
            </w:r>
            <w:proofErr w:type="gramStart"/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採</w:t>
            </w:r>
            <w:proofErr w:type="gramEnd"/>
            <w:r w:rsidR="00CF5C39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形式審查，只要文件符合法定格式且不違反善良風俗，即可核准註冊。</w:t>
            </w:r>
          </w:p>
        </w:tc>
      </w:tr>
      <w:tr w:rsidR="00800831" w:rsidRPr="00327D7E" w:rsidTr="00861D0B">
        <w:tc>
          <w:tcPr>
            <w:tcW w:w="416" w:type="dxa"/>
            <w:vAlign w:val="center"/>
          </w:tcPr>
          <w:p w:rsidR="00800831" w:rsidRPr="00327D7E" w:rsidRDefault="00800831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2268FE" w:rsidRPr="00327D7E" w:rsidRDefault="002268FE" w:rsidP="002268FE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德國採用「侵權與無效分離」的雙軌制。地方法院只管專利侵權，聯邦專利法院（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FPC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）管轄無效訴訟。無效訴訟是獨立的法律程序。</w:t>
            </w:r>
          </w:p>
          <w:p w:rsidR="002268FE" w:rsidRPr="00327D7E" w:rsidRDefault="002268FE" w:rsidP="002268FE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兩大主要途徑</w:t>
            </w:r>
          </w:p>
          <w:p w:rsidR="002268FE" w:rsidRPr="00327D7E" w:rsidRDefault="00B312BB" w:rsidP="00B312BB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1. 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異議程序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(Opposition)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期限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：專利公告後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9 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月內。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受理機關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：德國專利商標局（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DPMA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2268FE" w:rsidRPr="00327D7E" w:rsidRDefault="00B312BB" w:rsidP="00B312BB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bookmarkStart w:id="0" w:name="_GoBack"/>
            <w:bookmarkEnd w:id="0"/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2. 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無效訴訟</w:t>
            </w:r>
            <w:r w:rsidR="002268FE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(Nullity Action)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時間點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：異議期滿後，或專利有效期間隨時可提出。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受理機關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：聯邦專利法院（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FPC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）。</w:t>
            </w:r>
          </w:p>
          <w:p w:rsidR="002268FE" w:rsidRPr="00327D7E" w:rsidRDefault="002268FE" w:rsidP="002268F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雙軌制程序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：德國將「侵權訴訟」與「無效訴訟」完全分開。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侵權訴訟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：由各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民事地方法院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管轄，專門審理被告是否有侵權事實。</w:t>
            </w:r>
          </w:p>
          <w:p w:rsidR="002268FE" w:rsidRPr="00327D7E" w:rsidRDefault="002268FE" w:rsidP="002268FE">
            <w:pPr>
              <w:widowControl/>
              <w:numPr>
                <w:ilvl w:val="0"/>
                <w:numId w:val="4"/>
              </w:numPr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無效訴訟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：民事法院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無權判定專利無效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。被告若要抗辯專利無效，必須另向位於慕尼黑的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聯邦專利法院（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FPC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提起無效之訴。</w:t>
            </w:r>
          </w:p>
          <w:p w:rsidR="002268FE" w:rsidRPr="00327D7E" w:rsidRDefault="002268FE" w:rsidP="002268F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訴訟不同步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：民事法院審理侵權的速度通常比專利法院審理無效的速度快。這意味著在專利被判定無效之前，民事法院可能就已經先判決侵權成立並核發禁制令。</w:t>
            </w:r>
          </w:p>
          <w:p w:rsidR="002268FE" w:rsidRPr="00327D7E" w:rsidRDefault="002268FE" w:rsidP="002268FE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快速禁制令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：在證據明確且具急迫性的情況下（如國際商展上有侵權產品展出），德國法院可在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24 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小時內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核發暫時禁制令，禁止侵權產品進口或販售。</w:t>
            </w:r>
          </w:p>
          <w:p w:rsidR="00800831" w:rsidRPr="00327D7E" w:rsidRDefault="002268FE" w:rsidP="002268FE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比例原則與寬限期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  <w:u w:val="single"/>
              </w:rPr>
              <w:t>德國專利法第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  <w:u w:val="single"/>
              </w:rPr>
              <w:t xml:space="preserve"> 139 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  <w:u w:val="single"/>
              </w:rPr>
              <w:t>條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的修訂，若核發禁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制令會對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被告或第三人造成不成比例的嚴重經濟損害，法院在特殊情況下可以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核發禁制令，或給予被告短暫使用的「寬限期（</w:t>
            </w:r>
            <w:proofErr w:type="spell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Aufbrauchfrist</w:t>
            </w:r>
            <w:proofErr w:type="spell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>。</w:t>
            </w:r>
          </w:p>
        </w:tc>
      </w:tr>
    </w:tbl>
    <w:p w:rsidR="00861D0B" w:rsidRPr="00327D7E" w:rsidRDefault="00861D0B">
      <w:pPr>
        <w:widowControl/>
        <w:rPr>
          <w:sz w:val="20"/>
          <w:szCs w:val="20"/>
        </w:rPr>
      </w:pPr>
    </w:p>
    <w:sectPr w:rsidR="00861D0B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478FE"/>
    <w:rsid w:val="00351403"/>
    <w:rsid w:val="0038473A"/>
    <w:rsid w:val="003934F9"/>
    <w:rsid w:val="003A72A6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37561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632A2"/>
    <w:rsid w:val="00EE1147"/>
    <w:rsid w:val="00EF323B"/>
    <w:rsid w:val="00F46448"/>
    <w:rsid w:val="00F52C54"/>
    <w:rsid w:val="00F7564B"/>
    <w:rsid w:val="00FC24E6"/>
    <w:rsid w:val="00FC3590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73756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7375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9642A-C53B-4DAD-A5E8-589D6EB6B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80</cp:revision>
  <dcterms:created xsi:type="dcterms:W3CDTF">2026-07-22T03:41:00Z</dcterms:created>
  <dcterms:modified xsi:type="dcterms:W3CDTF">2026-09-04T01:12:00Z</dcterms:modified>
</cp:coreProperties>
</file>