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FB0" w:rsidRPr="00327D7E" w:rsidRDefault="002B2418" w:rsidP="00D65FB0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日本</w:t>
      </w:r>
      <w:r w:rsidR="00536559">
        <w:rPr>
          <w:rFonts w:hint="eastAsia"/>
          <w:sz w:val="20"/>
          <w:szCs w:val="20"/>
        </w:rPr>
        <w:t>專利</w:t>
      </w:r>
    </w:p>
    <w:p w:rsidR="00114EAB" w:rsidRPr="00327D7E" w:rsidRDefault="00114EAB" w:rsidP="00D65FB0">
      <w:pPr>
        <w:jc w:val="center"/>
        <w:rPr>
          <w:sz w:val="20"/>
          <w:szCs w:val="20"/>
        </w:rPr>
      </w:pPr>
      <w:r>
        <w:t>JPO</w:t>
      </w:r>
      <w:r w:rsidR="00751E8C" w:rsidRPr="00327D7E">
        <w:rPr>
          <w:rFonts w:hint="eastAsia"/>
          <w:sz w:val="20"/>
          <w:szCs w:val="20"/>
        </w:rPr>
        <w:t xml:space="preserve"> </w:t>
      </w:r>
      <w:r w:rsidR="00D65FB0" w:rsidRPr="00327D7E">
        <w:rPr>
          <w:rFonts w:hint="eastAsia"/>
          <w:sz w:val="20"/>
          <w:szCs w:val="20"/>
        </w:rPr>
        <w:t>網址：</w:t>
      </w:r>
      <w:hyperlink r:id="rId7" w:history="1">
        <w:r w:rsidRPr="00DA65EE">
          <w:rPr>
            <w:rStyle w:val="a6"/>
            <w:sz w:val="20"/>
            <w:szCs w:val="20"/>
          </w:rPr>
          <w:t>https://www.jpo.go.jp/</w:t>
        </w:r>
      </w:hyperlink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B2418" w:rsidRPr="00327D7E" w:rsidTr="00861D0B">
        <w:tc>
          <w:tcPr>
            <w:tcW w:w="416" w:type="dxa"/>
            <w:vAlign w:val="center"/>
          </w:tcPr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6"/>
              <w:gridCol w:w="1986"/>
              <w:gridCol w:w="1987"/>
              <w:gridCol w:w="1986"/>
              <w:gridCol w:w="1987"/>
            </w:tblGrid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專利類型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保護對象</w:t>
                  </w:r>
                </w:p>
              </w:tc>
              <w:tc>
                <w:tcPr>
                  <w:tcW w:w="195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保護期限（自申請日起算）</w:t>
                  </w:r>
                </w:p>
              </w:tc>
              <w:tc>
                <w:tcPr>
                  <w:tcW w:w="194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早期公開</w:t>
                  </w:r>
                </w:p>
              </w:tc>
            </w:tr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特許（發明）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高度的技術創作（如方法、配方、系統、軟體演算法）</w:t>
                  </w:r>
                </w:p>
              </w:tc>
              <w:tc>
                <w:tcPr>
                  <w:tcW w:w="195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（須於申請日起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3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年內主動提出實審）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（醫藥品等特定領域最多可延長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年）</w:t>
                  </w:r>
                </w:p>
              </w:tc>
              <w:tc>
                <w:tcPr>
                  <w:tcW w:w="194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申請日（或優先權日）起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18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個月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後公開</w:t>
                  </w:r>
                </w:p>
              </w:tc>
            </w:tr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實用新案（新型）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物品形狀、構造或組合之技術創作（不含方法與材料）</w:t>
                  </w:r>
                </w:p>
              </w:tc>
              <w:tc>
                <w:tcPr>
                  <w:tcW w:w="195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（免實體審查，符合基本程序即登記）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194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無（直接進行登錄公報）</w:t>
                  </w:r>
                </w:p>
              </w:tc>
            </w:tr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意匠（設計）</w:t>
                  </w:r>
                </w:p>
              </w:tc>
              <w:tc>
                <w:tcPr>
                  <w:tcW w:w="1956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物品、建築物、圖像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(UI)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等視覺美感上的外觀設計</w:t>
                  </w:r>
                </w:p>
              </w:tc>
              <w:tc>
                <w:tcPr>
                  <w:tcW w:w="1957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（特許廳自動進行審查，不需另提實審）</w:t>
                  </w:r>
                </w:p>
              </w:tc>
              <w:tc>
                <w:tcPr>
                  <w:tcW w:w="1956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25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1942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無（核准後直接進行意匠公報）</w:t>
                  </w:r>
                </w:p>
              </w:tc>
            </w:tr>
          </w:tbl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2B2418" w:rsidRPr="00327D7E" w:rsidTr="00861D0B">
        <w:tc>
          <w:tcPr>
            <w:tcW w:w="416" w:type="dxa"/>
            <w:vAlign w:val="center"/>
          </w:tcPr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(Grace Period)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：若發明人在申請日前因實驗、發表或參展而導致技術內容被公開，在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公開事實發生後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12 </w:t>
            </w:r>
            <w:proofErr w:type="gramStart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仍可提出申請，但必須在申請時同步聲明主張。</w:t>
            </w:r>
          </w:p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不予受理的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Shift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修正（偏移修正）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：在答覆特許廳的「拒絕理由通知書」時，修正案所限定的技術特徵，不能偏離原先已經過審查的主題。如果大幅變更審查方向，該修正將會被官方拒絕。</w:t>
            </w:r>
          </w:p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異議提出制度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：任何人在專利公報發行之日起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，皆可基於新穎性或進步性不足等理由，向特許廳提起專利異議，這是一項公眾監督機制。</w:t>
            </w:r>
          </w:p>
          <w:p w:rsidR="002B2418" w:rsidRPr="00327D7E" w:rsidRDefault="002B2418" w:rsidP="0069358F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加速審查通道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：為了縮短特許（發明）專利的等待時間，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JPO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提供了加速審查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(Accelerated Examination)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以及與台灣等各國合作的專利審查高速公路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(PPH)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，符合條件者可免費申請</w:t>
            </w:r>
            <w:r w:rsidR="00E86A3D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>，</w:t>
            </w:r>
            <w:bookmarkStart w:id="0" w:name="_GoBack"/>
            <w:bookmarkEnd w:id="0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以大幅縮短審查時程。</w:t>
            </w:r>
          </w:p>
        </w:tc>
      </w:tr>
      <w:tr w:rsidR="002B2418" w:rsidRPr="00327D7E" w:rsidTr="00861D0B">
        <w:tc>
          <w:tcPr>
            <w:tcW w:w="416" w:type="dxa"/>
            <w:vAlign w:val="center"/>
          </w:tcPr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專利異議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(Opposition)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時效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：專利公告日起</w:t>
            </w:r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6 </w:t>
            </w:r>
            <w:proofErr w:type="gramStart"/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個</w:t>
            </w:r>
            <w:proofErr w:type="gramEnd"/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月內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適格人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：任何人（任何人皆可提出，不限利害關係人）。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目的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：使專利局能快速重新審視專利核准是否適當。</w:t>
            </w:r>
          </w:p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專利無效審判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(Invalidation Trial)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時效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：專利權有效期間內甚至專利權消滅後皆可提出。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適格人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：僅限</w:t>
            </w:r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利害關係人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（例如：面臨侵權訴訟或可能受專利權影響的廠商）。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目的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：解決專利權有效性爭議，由特許廳審判官（通常為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至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人合議）進行審理。</w:t>
            </w:r>
          </w:p>
          <w:p w:rsidR="002B2418" w:rsidRPr="00327D7E" w:rsidRDefault="00AE0F46" w:rsidP="0069358F">
            <w:pPr>
              <w:widowControl/>
              <w:rPr>
                <w:sz w:val="20"/>
                <w:szCs w:val="20"/>
              </w:rPr>
            </w:pPr>
            <w:r w:rsidRPr="00327D7E">
              <w:rPr>
                <w:sz w:val="20"/>
                <w:szCs w:val="20"/>
              </w:rPr>
              <w:t>在日本，</w:t>
            </w:r>
            <w:r w:rsidRPr="00327D7E">
              <w:rPr>
                <w:b/>
                <w:sz w:val="20"/>
                <w:szCs w:val="20"/>
              </w:rPr>
              <w:t>專利侵權</w:t>
            </w:r>
            <w:r w:rsidRPr="00327D7E">
              <w:rPr>
                <w:sz w:val="20"/>
                <w:szCs w:val="20"/>
              </w:rPr>
              <w:t>的法律救濟主要透過民事訴訟進行，專利權人可向</w:t>
            </w:r>
            <w:r w:rsidRPr="00327D7E">
              <w:rPr>
                <w:b/>
                <w:sz w:val="20"/>
                <w:szCs w:val="20"/>
              </w:rPr>
              <w:t>東京地方法院</w:t>
            </w:r>
            <w:r w:rsidRPr="00327D7E">
              <w:rPr>
                <w:sz w:val="20"/>
                <w:szCs w:val="20"/>
              </w:rPr>
              <w:t>或</w:t>
            </w:r>
            <w:r w:rsidRPr="00327D7E">
              <w:rPr>
                <w:b/>
                <w:sz w:val="20"/>
                <w:szCs w:val="20"/>
              </w:rPr>
              <w:t>大阪地方法院</w:t>
            </w:r>
            <w:r w:rsidRPr="00327D7E">
              <w:rPr>
                <w:sz w:val="20"/>
                <w:szCs w:val="20"/>
              </w:rPr>
              <w:t>提起專利侵權訴訟。</w:t>
            </w:r>
          </w:p>
          <w:p w:rsidR="00AE0F46" w:rsidRPr="00327D7E" w:rsidRDefault="00AE0F46" w:rsidP="0069358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日本專利侵權訴訟的審理採取遞進式，主要分為三個階段：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1.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判斷專利是否有效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：確認原告的專利權是否存在無效事由。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2.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判斷被告是否侵權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：檢視被告的技術或產品是否落入專利權的保護範圍。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3.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判斷侵權損失額度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：若確定侵權，則進一步估算應賠償的金額。</w:t>
            </w:r>
          </w:p>
          <w:p w:rsidR="00AE0F46" w:rsidRPr="00327D7E" w:rsidRDefault="00AE0F46" w:rsidP="0069358F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主要的法律救濟手段</w:t>
            </w:r>
          </w:p>
          <w:p w:rsidR="00AE0F46" w:rsidRPr="00327D7E" w:rsidRDefault="00AE0F46" w:rsidP="0069358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專利權人若遭遇侵權，通常會向法院申請以下兩種形式的民事救濟：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禁止請求（申請禁令）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：要求被告停止製造、販售或使用該侵權產品。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損害賠償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：要求被告補償因侵權行為所造成的經濟損失。</w:t>
            </w:r>
          </w:p>
        </w:tc>
      </w:tr>
    </w:tbl>
    <w:p w:rsidR="008D1B6E" w:rsidRPr="002730EC" w:rsidRDefault="008D1B6E">
      <w:pPr>
        <w:widowControl/>
        <w:rPr>
          <w:sz w:val="20"/>
          <w:szCs w:val="20"/>
        </w:rPr>
      </w:pPr>
    </w:p>
    <w:sectPr w:rsidR="008D1B6E" w:rsidRPr="002730EC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114EAB"/>
    <w:rsid w:val="00207493"/>
    <w:rsid w:val="00221986"/>
    <w:rsid w:val="002268FE"/>
    <w:rsid w:val="002614B9"/>
    <w:rsid w:val="002730EC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405226"/>
    <w:rsid w:val="00467E37"/>
    <w:rsid w:val="0047427D"/>
    <w:rsid w:val="004B580E"/>
    <w:rsid w:val="00520620"/>
    <w:rsid w:val="00536559"/>
    <w:rsid w:val="00546396"/>
    <w:rsid w:val="00582563"/>
    <w:rsid w:val="006131E8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4D8F"/>
    <w:rsid w:val="00A31B11"/>
    <w:rsid w:val="00A377C6"/>
    <w:rsid w:val="00AE0F46"/>
    <w:rsid w:val="00AF652F"/>
    <w:rsid w:val="00B1669C"/>
    <w:rsid w:val="00B16FDF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86A3D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jpo.go.j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BA654-5FA9-46BA-8BEA-1C496D86A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79</cp:revision>
  <dcterms:created xsi:type="dcterms:W3CDTF">2026-07-22T03:41:00Z</dcterms:created>
  <dcterms:modified xsi:type="dcterms:W3CDTF">2026-09-04T03:43:00Z</dcterms:modified>
</cp:coreProperties>
</file>