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580E" w:rsidRPr="00327D7E" w:rsidRDefault="004B580E" w:rsidP="004B580E">
      <w:pPr>
        <w:jc w:val="center"/>
        <w:rPr>
          <w:sz w:val="20"/>
          <w:szCs w:val="20"/>
        </w:rPr>
      </w:pPr>
      <w:r w:rsidRPr="00327D7E">
        <w:rPr>
          <w:rFonts w:hint="eastAsia"/>
          <w:sz w:val="20"/>
          <w:szCs w:val="20"/>
        </w:rPr>
        <w:t>智利</w:t>
      </w:r>
      <w:r w:rsidR="00536559">
        <w:rPr>
          <w:rFonts w:hint="eastAsia"/>
          <w:sz w:val="20"/>
          <w:szCs w:val="20"/>
        </w:rPr>
        <w:t>專利</w:t>
      </w:r>
    </w:p>
    <w:p w:rsidR="00DD0963" w:rsidRPr="00327D7E" w:rsidRDefault="00E4178B" w:rsidP="004B580E">
      <w:pPr>
        <w:jc w:val="center"/>
        <w:rPr>
          <w:sz w:val="20"/>
          <w:szCs w:val="20"/>
        </w:rPr>
      </w:pPr>
      <w:r>
        <w:t>INAPI</w:t>
      </w:r>
      <w:r>
        <w:rPr>
          <w:rFonts w:hint="eastAsia"/>
        </w:rPr>
        <w:t xml:space="preserve"> </w:t>
      </w:r>
      <w:r w:rsidR="004B580E" w:rsidRPr="00327D7E">
        <w:rPr>
          <w:rFonts w:hint="eastAsia"/>
          <w:sz w:val="20"/>
          <w:szCs w:val="20"/>
        </w:rPr>
        <w:t>網址：</w:t>
      </w:r>
      <w:r w:rsidR="00DD0963">
        <w:fldChar w:fldCharType="begin"/>
      </w:r>
      <w:r w:rsidR="00DD0963">
        <w:instrText xml:space="preserve"> HYPERLINK "</w:instrText>
      </w:r>
      <w:r w:rsidR="00DD0963" w:rsidRPr="00DD0963">
        <w:instrText>https://www.inapi.cl/</w:instrText>
      </w:r>
      <w:r w:rsidR="00DD0963">
        <w:instrText xml:space="preserve">" </w:instrText>
      </w:r>
      <w:r w:rsidR="00DD0963">
        <w:fldChar w:fldCharType="separate"/>
      </w:r>
      <w:r w:rsidR="00DD0963" w:rsidRPr="002E0E09">
        <w:rPr>
          <w:rStyle w:val="a6"/>
        </w:rPr>
        <w:t>https://www.inapi.cl/</w:t>
      </w:r>
      <w:r w:rsidR="00DD0963">
        <w:fldChar w:fldCharType="end"/>
      </w:r>
      <w:bookmarkStart w:id="0" w:name="_GoBack"/>
      <w:bookmarkEnd w:id="0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6"/>
        <w:gridCol w:w="10182"/>
      </w:tblGrid>
      <w:tr w:rsidR="004B580E" w:rsidRPr="00327D7E" w:rsidTr="0038473A">
        <w:tc>
          <w:tcPr>
            <w:tcW w:w="416" w:type="dxa"/>
            <w:vAlign w:val="center"/>
          </w:tcPr>
          <w:p w:rsidR="004B580E" w:rsidRPr="00327D7E" w:rsidRDefault="004B580E" w:rsidP="0038473A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專利種類</w:t>
            </w:r>
          </w:p>
        </w:tc>
        <w:tc>
          <w:tcPr>
            <w:tcW w:w="1018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91"/>
              <w:gridCol w:w="2492"/>
              <w:gridCol w:w="2491"/>
              <w:gridCol w:w="2492"/>
            </w:tblGrid>
            <w:tr w:rsidR="00B63ACC" w:rsidRPr="00327D7E" w:rsidTr="00B63ACC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B63ACC" w:rsidRPr="00B63ACC" w:rsidRDefault="00B63ACC" w:rsidP="00B63ACC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B63ACC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專利</w:t>
                  </w:r>
                  <w:r w:rsidRPr="00B63ACC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/</w:t>
                  </w:r>
                  <w:r w:rsidRPr="00B63ACC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保護種類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B63ACC" w:rsidRPr="00B63ACC" w:rsidRDefault="00B63ACC" w:rsidP="00B63ACC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B63ACC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保護年限（自申請日起算）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B63ACC" w:rsidRPr="00B63ACC" w:rsidRDefault="00B63ACC" w:rsidP="00B63ACC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B63ACC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審查制度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B63ACC" w:rsidRPr="00B63ACC" w:rsidRDefault="00B63ACC" w:rsidP="00B63ACC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B63ACC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核心保護標的</w:t>
                  </w:r>
                </w:p>
              </w:tc>
            </w:tr>
            <w:tr w:rsidR="00B63ACC" w:rsidRPr="00327D7E" w:rsidTr="00B63ACC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B63ACC" w:rsidRPr="00B63ACC" w:rsidRDefault="00B63ACC" w:rsidP="00B63ACC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發明專利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B63ACC" w:rsidRPr="00B63ACC" w:rsidRDefault="00B63ACC" w:rsidP="00B63ACC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20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  <w:r w:rsidRPr="00B63ACC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</w:t>
                  </w:r>
                  <w:r w:rsidRPr="00B63ACC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2026</w:t>
                  </w:r>
                  <w:r w:rsidRPr="00B63ACC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新制開放特定延期）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B63ACC" w:rsidRPr="00B63ACC" w:rsidRDefault="00B63ACC" w:rsidP="00B63ACC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全面實體審查制</w:t>
                  </w:r>
                  <w:r w:rsidRPr="00B63ACC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（須繳費提審）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B63ACC" w:rsidRPr="00B63ACC" w:rsidRDefault="00B63ACC" w:rsidP="00B63ACC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B63ACC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具備新穎性、進步性與產業利用性的全新技術產品或方法。</w:t>
                  </w:r>
                </w:p>
              </w:tc>
            </w:tr>
            <w:tr w:rsidR="00B63ACC" w:rsidRPr="00327D7E" w:rsidTr="00B63ACC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B63ACC" w:rsidRPr="00B63ACC" w:rsidRDefault="00B63ACC" w:rsidP="00B63ACC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新型專利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B63ACC" w:rsidRPr="00B63ACC" w:rsidRDefault="00B63ACC" w:rsidP="00B63ACC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10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B63ACC" w:rsidRPr="00B63ACC" w:rsidRDefault="00B63ACC" w:rsidP="00B63ACC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全面實體審查制</w:t>
                  </w:r>
                  <w:r w:rsidRPr="00B63ACC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不審查進步性</w:t>
                  </w:r>
                  <w:r w:rsidRPr="00B63ACC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）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B63ACC" w:rsidRPr="00B63ACC" w:rsidRDefault="00B63ACC" w:rsidP="00B63ACC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B63ACC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針對工具、器具、機械等實體物品的形狀、結構進行的實用改良（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排除方法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/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製程</w:t>
                  </w:r>
                  <w:r w:rsidRPr="00B63ACC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）。</w:t>
                  </w:r>
                </w:p>
              </w:tc>
            </w:tr>
            <w:tr w:rsidR="00B63ACC" w:rsidRPr="00327D7E" w:rsidTr="00B63ACC">
              <w:trPr>
                <w:tblCellSpacing w:w="15" w:type="dxa"/>
              </w:trPr>
              <w:tc>
                <w:tcPr>
                  <w:tcW w:w="2446" w:type="dxa"/>
                  <w:tcBorders>
                    <w:bottom w:val="nil"/>
                  </w:tcBorders>
                  <w:vAlign w:val="center"/>
                  <w:hideMark/>
                </w:tcPr>
                <w:p w:rsidR="00B63ACC" w:rsidRPr="00B63ACC" w:rsidRDefault="00B63ACC" w:rsidP="00B63ACC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工業設計</w:t>
                  </w:r>
                  <w:r w:rsidRPr="00B63ACC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br/>
                  </w:r>
                  <w:r w:rsidRPr="00327D7E">
                    <w:rPr>
                      <w:rFonts w:ascii="Arial" w:eastAsia="新細明體" w:hAnsi="Arial" w:cs="Arial"/>
                      <w:i/>
                      <w:iCs/>
                      <w:kern w:val="0"/>
                      <w:sz w:val="20"/>
                      <w:szCs w:val="20"/>
                    </w:rPr>
                    <w:t>(</w:t>
                  </w:r>
                  <w:r w:rsidRPr="00327D7E">
                    <w:rPr>
                      <w:rFonts w:ascii="Arial" w:eastAsia="新細明體" w:hAnsi="Arial" w:cs="Arial"/>
                      <w:i/>
                      <w:iCs/>
                      <w:kern w:val="0"/>
                      <w:sz w:val="20"/>
                      <w:szCs w:val="20"/>
                    </w:rPr>
                    <w:t>即設計專利</w:t>
                  </w:r>
                  <w:r w:rsidRPr="00327D7E">
                    <w:rPr>
                      <w:rFonts w:ascii="Arial" w:eastAsia="新細明體" w:hAnsi="Arial" w:cs="Arial"/>
                      <w:i/>
                      <w:iCs/>
                      <w:kern w:val="0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2462" w:type="dxa"/>
                  <w:tcBorders>
                    <w:bottom w:val="nil"/>
                  </w:tcBorders>
                  <w:vAlign w:val="center"/>
                  <w:hideMark/>
                </w:tcPr>
                <w:p w:rsidR="00B63ACC" w:rsidRPr="00B63ACC" w:rsidRDefault="00B63ACC" w:rsidP="00B63ACC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10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  <w:r w:rsidRPr="00B63ACC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</w:t>
                  </w:r>
                  <w:r w:rsidRPr="00B63ACC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2026</w:t>
                  </w:r>
                  <w:r w:rsidRPr="00B63ACC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新制由</w:t>
                  </w:r>
                  <w:r w:rsidRPr="00B63ACC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5</w:t>
                  </w:r>
                  <w:r w:rsidRPr="00B63ACC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年延長為</w:t>
                  </w:r>
                  <w:r w:rsidRPr="00B63ACC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 xml:space="preserve">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10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  <w:r w:rsidRPr="00B63ACC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）</w:t>
                  </w:r>
                </w:p>
              </w:tc>
              <w:tc>
                <w:tcPr>
                  <w:tcW w:w="2461" w:type="dxa"/>
                  <w:tcBorders>
                    <w:bottom w:val="nil"/>
                  </w:tcBorders>
                  <w:vAlign w:val="center"/>
                  <w:hideMark/>
                </w:tcPr>
                <w:p w:rsidR="00B63ACC" w:rsidRPr="00B63ACC" w:rsidRDefault="00B63ACC" w:rsidP="00B63ACC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全面實體審查制</w:t>
                  </w:r>
                  <w:r w:rsidRPr="00B63ACC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（審查新穎性）</w:t>
                  </w:r>
                </w:p>
              </w:tc>
              <w:tc>
                <w:tcPr>
                  <w:tcW w:w="2447" w:type="dxa"/>
                  <w:tcBorders>
                    <w:bottom w:val="nil"/>
                  </w:tcBorders>
                  <w:vAlign w:val="center"/>
                  <w:hideMark/>
                </w:tcPr>
                <w:p w:rsidR="00B63ACC" w:rsidRPr="00B63ACC" w:rsidRDefault="00B63ACC" w:rsidP="00B63ACC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B63ACC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產品全部或部分由線條、色彩、形狀組成的創新外觀特徵。</w:t>
                  </w:r>
                </w:p>
              </w:tc>
            </w:tr>
          </w:tbl>
          <w:p w:rsidR="004B580E" w:rsidRPr="00327D7E" w:rsidRDefault="004B580E" w:rsidP="00B63ACC">
            <w:pPr>
              <w:widowControl/>
              <w:spacing w:before="480" w:after="480"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</w:p>
        </w:tc>
      </w:tr>
      <w:tr w:rsidR="004B580E" w:rsidRPr="00327D7E" w:rsidTr="0038473A">
        <w:tc>
          <w:tcPr>
            <w:tcW w:w="416" w:type="dxa"/>
            <w:vAlign w:val="center"/>
          </w:tcPr>
          <w:p w:rsidR="004B580E" w:rsidRPr="00327D7E" w:rsidRDefault="004B580E" w:rsidP="0038473A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申請要點</w:t>
            </w:r>
          </w:p>
        </w:tc>
        <w:tc>
          <w:tcPr>
            <w:tcW w:w="10182" w:type="dxa"/>
          </w:tcPr>
          <w:p w:rsidR="00B63ACC" w:rsidRPr="00B63ACC" w:rsidRDefault="00B63ACC" w:rsidP="00B67052">
            <w:pPr>
              <w:widowControl/>
              <w:numPr>
                <w:ilvl w:val="0"/>
                <w:numId w:val="41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首度引入專利期延長（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PTE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）補償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：根據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2026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年最新修正案，如果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INAPI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在審查發明專利時發生「不合理的行政延誤」（如自申請日起算超過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5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年，或提審後超過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3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年未結案），專利權人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可在獲證後申請「專利權期間延長（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PTE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）」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，以補償損失的保護年限，這對跨國醫藥與科技公司是重大歷史利多。</w:t>
            </w:r>
          </w:p>
          <w:p w:rsidR="00B63ACC" w:rsidRPr="00B63ACC" w:rsidRDefault="00B63ACC" w:rsidP="00B67052">
            <w:pPr>
              <w:widowControl/>
              <w:numPr>
                <w:ilvl w:val="0"/>
                <w:numId w:val="41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設計專利保護年限直接翻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倍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：新制將工業設計與工業繪圖（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Industrial Drawings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）的保護期限，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由原本的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5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年直接拉長至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10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年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（自申請日起算），且維持一次到位不需中途展延。</w:t>
            </w:r>
          </w:p>
          <w:p w:rsidR="00B63ACC" w:rsidRPr="00B63ACC" w:rsidRDefault="00B63ACC" w:rsidP="00B67052">
            <w:pPr>
              <w:widowControl/>
              <w:numPr>
                <w:ilvl w:val="0"/>
                <w:numId w:val="41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新型專利需實體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審查但免進步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性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：智利的新型專利（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Utility Model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並非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登記制。它在形式審查後，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必須強制繳費並由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INAPI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指派外部專家進行新穎性與實用性的實體審查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，但審查標準中不包含進步性門檻。</w:t>
            </w:r>
          </w:p>
          <w:p w:rsidR="00B63ACC" w:rsidRPr="00B63ACC" w:rsidRDefault="00B63ACC" w:rsidP="00B67052">
            <w:pPr>
              <w:widowControl/>
              <w:numPr>
                <w:ilvl w:val="0"/>
                <w:numId w:val="41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新細明體" w:eastAsia="新細明體" w:hAnsi="新細明體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12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個月新穎性寬限期（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Grace Period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：智利提供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12 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個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的新穎性優惠期，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包含「發明人自己（或其授權者）在世界任何地方主動發表、展出或銷售」該技術的行為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，只要在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1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年內向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INAPI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遞交申請，皆不會喪失新穎性。</w:t>
            </w:r>
          </w:p>
          <w:p w:rsidR="00B63ACC" w:rsidRPr="00B63ACC" w:rsidRDefault="00B63ACC" w:rsidP="00B67052">
            <w:pPr>
              <w:widowControl/>
              <w:numPr>
                <w:ilvl w:val="0"/>
                <w:numId w:val="41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排除治療方法與天然物質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：智利專利法明確將「針對人類或動物身體的手術、治療或診斷方法」排除在專利保護之外。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此外，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自然界中既存的物質、生物體或基因組，在智利亦屬於不可專利之標的。</w:t>
            </w:r>
          </w:p>
          <w:p w:rsidR="004B580E" w:rsidRPr="00327D7E" w:rsidRDefault="00B63ACC" w:rsidP="00B67052">
            <w:pPr>
              <w:widowControl/>
              <w:numPr>
                <w:ilvl w:val="0"/>
                <w:numId w:val="41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強制委託本地代理人與翻譯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：外國申請人若在智利沒有固定住所，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必須強制委託智利當地的註冊專利代理人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辦理所有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INAPI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流程，且所有技術文件與權利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要求書皆必須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翻譯為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西班牙文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</w:t>
            </w:r>
          </w:p>
        </w:tc>
      </w:tr>
      <w:tr w:rsidR="004B580E" w:rsidRPr="00327D7E" w:rsidTr="0038473A">
        <w:tc>
          <w:tcPr>
            <w:tcW w:w="416" w:type="dxa"/>
            <w:vAlign w:val="center"/>
          </w:tcPr>
          <w:p w:rsidR="004B580E" w:rsidRPr="00327D7E" w:rsidRDefault="004B580E" w:rsidP="0038473A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專利爭議侵權</w:t>
            </w:r>
          </w:p>
        </w:tc>
        <w:tc>
          <w:tcPr>
            <w:tcW w:w="10182" w:type="dxa"/>
          </w:tcPr>
          <w:p w:rsidR="00B63ACC" w:rsidRPr="00B63ACC" w:rsidRDefault="00B63ACC" w:rsidP="00B63ACC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B63ACC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智利工業產權法院（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TDPI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）集中管轄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：智利設有專門的中央級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工業產權法院（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Tribunal de </w:t>
            </w:r>
            <w:proofErr w:type="spell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Propiedad</w:t>
            </w:r>
            <w:proofErr w:type="spell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Industrial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。所有涉及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INAPI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行政決定的上訴、專利無效宣告（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Nullity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）訴訟，皆統一由該專責法院審理。</w:t>
            </w:r>
          </w:p>
          <w:p w:rsidR="00B63ACC" w:rsidRPr="00B63ACC" w:rsidRDefault="00B63ACC" w:rsidP="00B63ACC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B63ACC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民事侵權與刑事犯罪雙軌並行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：在智利，專利侵權在法律上被定性為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刑事犯罪行為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</w:t>
            </w:r>
          </w:p>
          <w:p w:rsidR="00B63ACC" w:rsidRPr="00B63ACC" w:rsidRDefault="00B63ACC" w:rsidP="00B67052">
            <w:pPr>
              <w:widowControl/>
              <w:numPr>
                <w:ilvl w:val="0"/>
                <w:numId w:val="42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刑事路徑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：權利人可向刑事檢察官報案，由警方對涉嫌侵權的工廠、倉庫發動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刑事突擊搜查、當場查封沒收侵權產品與生產機具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，侵權負責人將面臨刑事罰金。</w:t>
            </w:r>
          </w:p>
          <w:p w:rsidR="00B63ACC" w:rsidRPr="00B63ACC" w:rsidRDefault="00B63ACC" w:rsidP="00B67052">
            <w:pPr>
              <w:widowControl/>
              <w:numPr>
                <w:ilvl w:val="0"/>
                <w:numId w:val="42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民事路徑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：若欲請求實際的損害賠償與所失利益，權利人則須另向地方民事法院提起民事侵權訴訟。</w:t>
            </w:r>
          </w:p>
          <w:p w:rsidR="00B63ACC" w:rsidRPr="00B63ACC" w:rsidRDefault="00B63ACC" w:rsidP="00B63ACC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B63ACC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判定原則（字面文義與專家鑑定）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</w:t>
            </w:r>
          </w:p>
          <w:p w:rsidR="00B63ACC" w:rsidRPr="00B63ACC" w:rsidRDefault="00B63ACC" w:rsidP="00B67052">
            <w:pPr>
              <w:widowControl/>
              <w:numPr>
                <w:ilvl w:val="0"/>
                <w:numId w:val="43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智利法院在審理技術侵權時，首要遵循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文義侵權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Literal Infringement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）與全要件原則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</w:t>
            </w:r>
          </w:p>
          <w:p w:rsidR="00B63ACC" w:rsidRPr="00B63ACC" w:rsidRDefault="00B63ACC" w:rsidP="00B67052">
            <w:pPr>
              <w:widowControl/>
              <w:numPr>
                <w:ilvl w:val="0"/>
                <w:numId w:val="43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由於法官通常缺乏科技背景，不論是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TDPI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還是民事法院，在審理過程中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100%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會指派一位由官方認證的第三方獨立技術專家（</w:t>
            </w:r>
            <w:proofErr w:type="spell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Perito</w:t>
            </w:r>
            <w:proofErr w:type="spell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撰寫技術比對報告。專家的鑑定意見在智利訴訟中具有超過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80%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的決定性影響力。</w:t>
            </w:r>
          </w:p>
          <w:p w:rsidR="00B63ACC" w:rsidRPr="00B63ACC" w:rsidRDefault="00B63ACC" w:rsidP="00B63ACC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B63ACC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臨時禁令（</w:t>
            </w:r>
            <w:proofErr w:type="spell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Prejudiciary</w:t>
            </w:r>
            <w:proofErr w:type="spell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Measures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）取證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：原告在提起民事訴訟前，若有足夠理由懷疑他人侵權，可向法院申請假處分，要求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在不通知被告的情況下，先行由執達吏前往現場扣押涉嫌侵權的樣品或發票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帳冊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，作為後續官司的呈堂證供。</w:t>
            </w:r>
          </w:p>
          <w:p w:rsidR="004B580E" w:rsidRPr="00327D7E" w:rsidRDefault="00B63ACC" w:rsidP="00B63ACC">
            <w:pPr>
              <w:widowControl/>
              <w:numPr>
                <w:ilvl w:val="0"/>
                <w:numId w:val="4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消滅時效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：專利侵權訴訟的追訴與損害賠償請求權時效，為自侵權行為發生之日起算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5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年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。超過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5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年的部分將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lastRenderedPageBreak/>
              <w:t>無法追討賠償。</w:t>
            </w:r>
          </w:p>
        </w:tc>
      </w:tr>
    </w:tbl>
    <w:p w:rsidR="0000519D" w:rsidRPr="00327D7E" w:rsidRDefault="0000519D">
      <w:pPr>
        <w:widowControl/>
        <w:rPr>
          <w:sz w:val="20"/>
          <w:szCs w:val="20"/>
        </w:rPr>
      </w:pPr>
    </w:p>
    <w:sectPr w:rsidR="0000519D" w:rsidRPr="00327D7E" w:rsidSect="002B2418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71825"/>
    <w:multiLevelType w:val="multilevel"/>
    <w:tmpl w:val="CFB8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D42204"/>
    <w:multiLevelType w:val="multilevel"/>
    <w:tmpl w:val="7978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2A0D8B"/>
    <w:multiLevelType w:val="multilevel"/>
    <w:tmpl w:val="66F2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4E7D4E"/>
    <w:multiLevelType w:val="multilevel"/>
    <w:tmpl w:val="EACC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DD20A1"/>
    <w:multiLevelType w:val="multilevel"/>
    <w:tmpl w:val="D454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4205A6"/>
    <w:multiLevelType w:val="multilevel"/>
    <w:tmpl w:val="E660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CE7B6F"/>
    <w:multiLevelType w:val="multilevel"/>
    <w:tmpl w:val="391AF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4A35C8A"/>
    <w:multiLevelType w:val="multilevel"/>
    <w:tmpl w:val="C176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E26F2B"/>
    <w:multiLevelType w:val="multilevel"/>
    <w:tmpl w:val="4CFCC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E8A5424"/>
    <w:multiLevelType w:val="multilevel"/>
    <w:tmpl w:val="4480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34A7591"/>
    <w:multiLevelType w:val="multilevel"/>
    <w:tmpl w:val="0C22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6ED130E"/>
    <w:multiLevelType w:val="multilevel"/>
    <w:tmpl w:val="603C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A8B42EE"/>
    <w:multiLevelType w:val="multilevel"/>
    <w:tmpl w:val="B404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BEC47AA"/>
    <w:multiLevelType w:val="multilevel"/>
    <w:tmpl w:val="F046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0416C7D"/>
    <w:multiLevelType w:val="multilevel"/>
    <w:tmpl w:val="7344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5361767"/>
    <w:multiLevelType w:val="multilevel"/>
    <w:tmpl w:val="E612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60A603E"/>
    <w:multiLevelType w:val="multilevel"/>
    <w:tmpl w:val="C4F2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D43061D"/>
    <w:multiLevelType w:val="multilevel"/>
    <w:tmpl w:val="5DE2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1773A08"/>
    <w:multiLevelType w:val="multilevel"/>
    <w:tmpl w:val="FC8A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2880F7B"/>
    <w:multiLevelType w:val="multilevel"/>
    <w:tmpl w:val="10AE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75C6478"/>
    <w:multiLevelType w:val="multilevel"/>
    <w:tmpl w:val="56C4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7C21A57"/>
    <w:multiLevelType w:val="multilevel"/>
    <w:tmpl w:val="703A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85B183E"/>
    <w:multiLevelType w:val="multilevel"/>
    <w:tmpl w:val="5200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A240B92"/>
    <w:multiLevelType w:val="multilevel"/>
    <w:tmpl w:val="27927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B0304A6"/>
    <w:multiLevelType w:val="multilevel"/>
    <w:tmpl w:val="E7C4F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06B60D2"/>
    <w:multiLevelType w:val="multilevel"/>
    <w:tmpl w:val="5936D8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4F4622B"/>
    <w:multiLevelType w:val="multilevel"/>
    <w:tmpl w:val="B3B8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90A1B6C"/>
    <w:multiLevelType w:val="multilevel"/>
    <w:tmpl w:val="7E9E191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B20128F"/>
    <w:multiLevelType w:val="multilevel"/>
    <w:tmpl w:val="579E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B632E3B"/>
    <w:multiLevelType w:val="multilevel"/>
    <w:tmpl w:val="98B6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BA64B85"/>
    <w:multiLevelType w:val="multilevel"/>
    <w:tmpl w:val="D99CEB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BCC6494"/>
    <w:multiLevelType w:val="multilevel"/>
    <w:tmpl w:val="94FA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CE74F33"/>
    <w:multiLevelType w:val="multilevel"/>
    <w:tmpl w:val="487651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5F9772EE"/>
    <w:multiLevelType w:val="multilevel"/>
    <w:tmpl w:val="E1A6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03A490D"/>
    <w:multiLevelType w:val="multilevel"/>
    <w:tmpl w:val="8F6A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08B7C6C"/>
    <w:multiLevelType w:val="multilevel"/>
    <w:tmpl w:val="FCE2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36C02A7"/>
    <w:multiLevelType w:val="multilevel"/>
    <w:tmpl w:val="D97C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4C704CD"/>
    <w:multiLevelType w:val="multilevel"/>
    <w:tmpl w:val="A6FC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7322985"/>
    <w:multiLevelType w:val="multilevel"/>
    <w:tmpl w:val="2C92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8C75A7A"/>
    <w:multiLevelType w:val="multilevel"/>
    <w:tmpl w:val="7F54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9801B25"/>
    <w:multiLevelType w:val="multilevel"/>
    <w:tmpl w:val="01BC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AB32F3D"/>
    <w:multiLevelType w:val="multilevel"/>
    <w:tmpl w:val="CFF8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B0322E6"/>
    <w:multiLevelType w:val="multilevel"/>
    <w:tmpl w:val="12DE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C2B6BC2"/>
    <w:multiLevelType w:val="multilevel"/>
    <w:tmpl w:val="6F84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E091374"/>
    <w:multiLevelType w:val="multilevel"/>
    <w:tmpl w:val="DCBE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1D53EBA"/>
    <w:multiLevelType w:val="multilevel"/>
    <w:tmpl w:val="4B72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CB165E1"/>
    <w:multiLevelType w:val="multilevel"/>
    <w:tmpl w:val="79E6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EDB6807"/>
    <w:multiLevelType w:val="multilevel"/>
    <w:tmpl w:val="2054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F77415D"/>
    <w:multiLevelType w:val="multilevel"/>
    <w:tmpl w:val="79EA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6"/>
  </w:num>
  <w:num w:numId="2">
    <w:abstractNumId w:val="33"/>
  </w:num>
  <w:num w:numId="3">
    <w:abstractNumId w:val="8"/>
  </w:num>
  <w:num w:numId="4">
    <w:abstractNumId w:val="21"/>
  </w:num>
  <w:num w:numId="5">
    <w:abstractNumId w:val="45"/>
  </w:num>
  <w:num w:numId="6">
    <w:abstractNumId w:val="39"/>
  </w:num>
  <w:num w:numId="7">
    <w:abstractNumId w:val="11"/>
  </w:num>
  <w:num w:numId="8">
    <w:abstractNumId w:val="0"/>
  </w:num>
  <w:num w:numId="9">
    <w:abstractNumId w:val="25"/>
  </w:num>
  <w:num w:numId="10">
    <w:abstractNumId w:val="41"/>
  </w:num>
  <w:num w:numId="11">
    <w:abstractNumId w:val="22"/>
  </w:num>
  <w:num w:numId="12">
    <w:abstractNumId w:val="6"/>
  </w:num>
  <w:num w:numId="13">
    <w:abstractNumId w:val="14"/>
  </w:num>
  <w:num w:numId="14">
    <w:abstractNumId w:val="32"/>
  </w:num>
  <w:num w:numId="15">
    <w:abstractNumId w:val="26"/>
  </w:num>
  <w:num w:numId="16">
    <w:abstractNumId w:val="27"/>
  </w:num>
  <w:num w:numId="17">
    <w:abstractNumId w:val="10"/>
  </w:num>
  <w:num w:numId="18">
    <w:abstractNumId w:val="23"/>
  </w:num>
  <w:num w:numId="19">
    <w:abstractNumId w:val="3"/>
  </w:num>
  <w:num w:numId="20">
    <w:abstractNumId w:val="30"/>
  </w:num>
  <w:num w:numId="21">
    <w:abstractNumId w:val="20"/>
  </w:num>
  <w:num w:numId="22">
    <w:abstractNumId w:val="28"/>
  </w:num>
  <w:num w:numId="23">
    <w:abstractNumId w:val="24"/>
  </w:num>
  <w:num w:numId="24">
    <w:abstractNumId w:val="2"/>
  </w:num>
  <w:num w:numId="25">
    <w:abstractNumId w:val="40"/>
  </w:num>
  <w:num w:numId="26">
    <w:abstractNumId w:val="9"/>
  </w:num>
  <w:num w:numId="27">
    <w:abstractNumId w:val="35"/>
  </w:num>
  <w:num w:numId="28">
    <w:abstractNumId w:val="13"/>
  </w:num>
  <w:num w:numId="29">
    <w:abstractNumId w:val="34"/>
  </w:num>
  <w:num w:numId="30">
    <w:abstractNumId w:val="7"/>
  </w:num>
  <w:num w:numId="31">
    <w:abstractNumId w:val="18"/>
  </w:num>
  <w:num w:numId="32">
    <w:abstractNumId w:val="19"/>
  </w:num>
  <w:num w:numId="33">
    <w:abstractNumId w:val="12"/>
  </w:num>
  <w:num w:numId="34">
    <w:abstractNumId w:val="31"/>
  </w:num>
  <w:num w:numId="35">
    <w:abstractNumId w:val="4"/>
  </w:num>
  <w:num w:numId="36">
    <w:abstractNumId w:val="48"/>
  </w:num>
  <w:num w:numId="37">
    <w:abstractNumId w:val="44"/>
  </w:num>
  <w:num w:numId="38">
    <w:abstractNumId w:val="17"/>
  </w:num>
  <w:num w:numId="39">
    <w:abstractNumId w:val="29"/>
  </w:num>
  <w:num w:numId="40">
    <w:abstractNumId w:val="42"/>
  </w:num>
  <w:num w:numId="41">
    <w:abstractNumId w:val="5"/>
  </w:num>
  <w:num w:numId="42">
    <w:abstractNumId w:val="16"/>
  </w:num>
  <w:num w:numId="43">
    <w:abstractNumId w:val="43"/>
  </w:num>
  <w:num w:numId="44">
    <w:abstractNumId w:val="15"/>
  </w:num>
  <w:num w:numId="45">
    <w:abstractNumId w:val="47"/>
  </w:num>
  <w:num w:numId="46">
    <w:abstractNumId w:val="38"/>
  </w:num>
  <w:num w:numId="47">
    <w:abstractNumId w:val="37"/>
  </w:num>
  <w:num w:numId="48">
    <w:abstractNumId w:val="1"/>
  </w:num>
  <w:num w:numId="49">
    <w:abstractNumId w:val="36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2418"/>
    <w:rsid w:val="0000519D"/>
    <w:rsid w:val="000132D8"/>
    <w:rsid w:val="00021DB5"/>
    <w:rsid w:val="00061066"/>
    <w:rsid w:val="00114651"/>
    <w:rsid w:val="00207493"/>
    <w:rsid w:val="00221986"/>
    <w:rsid w:val="002268FE"/>
    <w:rsid w:val="002614B9"/>
    <w:rsid w:val="00281ED7"/>
    <w:rsid w:val="002B2418"/>
    <w:rsid w:val="00304F0E"/>
    <w:rsid w:val="00311A04"/>
    <w:rsid w:val="00326595"/>
    <w:rsid w:val="00327D7E"/>
    <w:rsid w:val="00335F1C"/>
    <w:rsid w:val="00335FF7"/>
    <w:rsid w:val="00351403"/>
    <w:rsid w:val="0038473A"/>
    <w:rsid w:val="003934F9"/>
    <w:rsid w:val="003A72A6"/>
    <w:rsid w:val="003D135A"/>
    <w:rsid w:val="003F0011"/>
    <w:rsid w:val="00405226"/>
    <w:rsid w:val="00467E37"/>
    <w:rsid w:val="0047427D"/>
    <w:rsid w:val="004B3B85"/>
    <w:rsid w:val="004B580E"/>
    <w:rsid w:val="00520620"/>
    <w:rsid w:val="00536559"/>
    <w:rsid w:val="00546396"/>
    <w:rsid w:val="00582563"/>
    <w:rsid w:val="00617FEB"/>
    <w:rsid w:val="0064347F"/>
    <w:rsid w:val="00673D4D"/>
    <w:rsid w:val="0069358F"/>
    <w:rsid w:val="00693E2E"/>
    <w:rsid w:val="006B1F6B"/>
    <w:rsid w:val="00703A18"/>
    <w:rsid w:val="00707DF0"/>
    <w:rsid w:val="00751E8C"/>
    <w:rsid w:val="00764FF5"/>
    <w:rsid w:val="007B3EB0"/>
    <w:rsid w:val="007C4A0E"/>
    <w:rsid w:val="007E4ADC"/>
    <w:rsid w:val="007F3301"/>
    <w:rsid w:val="007F7E9A"/>
    <w:rsid w:val="00800831"/>
    <w:rsid w:val="008164E3"/>
    <w:rsid w:val="00832E41"/>
    <w:rsid w:val="00861D0B"/>
    <w:rsid w:val="00871FC8"/>
    <w:rsid w:val="0087517A"/>
    <w:rsid w:val="00883F16"/>
    <w:rsid w:val="008D1B6E"/>
    <w:rsid w:val="008F4EE6"/>
    <w:rsid w:val="0092228A"/>
    <w:rsid w:val="0093317A"/>
    <w:rsid w:val="0097671F"/>
    <w:rsid w:val="00976859"/>
    <w:rsid w:val="009874D8"/>
    <w:rsid w:val="009E242B"/>
    <w:rsid w:val="009F73AC"/>
    <w:rsid w:val="00A21A77"/>
    <w:rsid w:val="00A24D8F"/>
    <w:rsid w:val="00A31B11"/>
    <w:rsid w:val="00A323F0"/>
    <w:rsid w:val="00A377C6"/>
    <w:rsid w:val="00AE0F46"/>
    <w:rsid w:val="00AF652F"/>
    <w:rsid w:val="00B1669C"/>
    <w:rsid w:val="00B312BB"/>
    <w:rsid w:val="00B63ACC"/>
    <w:rsid w:val="00B67052"/>
    <w:rsid w:val="00B67EFB"/>
    <w:rsid w:val="00B75DE5"/>
    <w:rsid w:val="00B8067C"/>
    <w:rsid w:val="00B80AFA"/>
    <w:rsid w:val="00BA3845"/>
    <w:rsid w:val="00BB209B"/>
    <w:rsid w:val="00BB50E0"/>
    <w:rsid w:val="00C9490D"/>
    <w:rsid w:val="00CF5C39"/>
    <w:rsid w:val="00D222AA"/>
    <w:rsid w:val="00D65FB0"/>
    <w:rsid w:val="00D97121"/>
    <w:rsid w:val="00DB7E6F"/>
    <w:rsid w:val="00DC2B0F"/>
    <w:rsid w:val="00DC65BD"/>
    <w:rsid w:val="00DD0963"/>
    <w:rsid w:val="00DE35C2"/>
    <w:rsid w:val="00DF138F"/>
    <w:rsid w:val="00E031AE"/>
    <w:rsid w:val="00E143F6"/>
    <w:rsid w:val="00E333F6"/>
    <w:rsid w:val="00E4178B"/>
    <w:rsid w:val="00EE1147"/>
    <w:rsid w:val="00EF323B"/>
    <w:rsid w:val="00F45DFA"/>
    <w:rsid w:val="00F46448"/>
    <w:rsid w:val="00F52C54"/>
    <w:rsid w:val="00F67F41"/>
    <w:rsid w:val="00F7564B"/>
    <w:rsid w:val="00FC24E6"/>
    <w:rsid w:val="00FE2FBD"/>
    <w:rsid w:val="00FF2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B24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2B2418"/>
    <w:rPr>
      <w:b/>
      <w:bCs/>
    </w:rPr>
  </w:style>
  <w:style w:type="character" w:customStyle="1" w:styleId="inqyif">
    <w:name w:val="inqyif"/>
    <w:basedOn w:val="a0"/>
    <w:rsid w:val="002B2418"/>
  </w:style>
  <w:style w:type="paragraph" w:styleId="a5">
    <w:name w:val="List Paragraph"/>
    <w:basedOn w:val="a"/>
    <w:uiPriority w:val="34"/>
    <w:qFormat/>
    <w:rsid w:val="00335FF7"/>
    <w:pPr>
      <w:ind w:leftChars="200" w:left="480"/>
    </w:pPr>
  </w:style>
  <w:style w:type="character" w:styleId="a6">
    <w:name w:val="Hyperlink"/>
    <w:basedOn w:val="a0"/>
    <w:uiPriority w:val="99"/>
    <w:unhideWhenUsed/>
    <w:rsid w:val="00BA3845"/>
    <w:rPr>
      <w:color w:val="0000FF"/>
      <w:u w:val="single"/>
    </w:rPr>
  </w:style>
  <w:style w:type="character" w:styleId="a7">
    <w:name w:val="Emphasis"/>
    <w:basedOn w:val="a0"/>
    <w:uiPriority w:val="20"/>
    <w:qFormat/>
    <w:rsid w:val="00326595"/>
    <w:rPr>
      <w:i/>
      <w:iCs/>
    </w:rPr>
  </w:style>
  <w:style w:type="character" w:customStyle="1" w:styleId="yadgie">
    <w:name w:val="yadgie"/>
    <w:basedOn w:val="a0"/>
    <w:rsid w:val="00D97121"/>
  </w:style>
  <w:style w:type="character" w:styleId="a8">
    <w:name w:val="FollowedHyperlink"/>
    <w:basedOn w:val="a0"/>
    <w:uiPriority w:val="99"/>
    <w:semiHidden/>
    <w:unhideWhenUsed/>
    <w:rsid w:val="004B3B85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B24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2B2418"/>
    <w:rPr>
      <w:b/>
      <w:bCs/>
    </w:rPr>
  </w:style>
  <w:style w:type="character" w:customStyle="1" w:styleId="inqyif">
    <w:name w:val="inqyif"/>
    <w:basedOn w:val="a0"/>
    <w:rsid w:val="002B2418"/>
  </w:style>
  <w:style w:type="paragraph" w:styleId="a5">
    <w:name w:val="List Paragraph"/>
    <w:basedOn w:val="a"/>
    <w:uiPriority w:val="34"/>
    <w:qFormat/>
    <w:rsid w:val="00335FF7"/>
    <w:pPr>
      <w:ind w:leftChars="200" w:left="480"/>
    </w:pPr>
  </w:style>
  <w:style w:type="character" w:styleId="a6">
    <w:name w:val="Hyperlink"/>
    <w:basedOn w:val="a0"/>
    <w:uiPriority w:val="99"/>
    <w:unhideWhenUsed/>
    <w:rsid w:val="00BA3845"/>
    <w:rPr>
      <w:color w:val="0000FF"/>
      <w:u w:val="single"/>
    </w:rPr>
  </w:style>
  <w:style w:type="character" w:styleId="a7">
    <w:name w:val="Emphasis"/>
    <w:basedOn w:val="a0"/>
    <w:uiPriority w:val="20"/>
    <w:qFormat/>
    <w:rsid w:val="00326595"/>
    <w:rPr>
      <w:i/>
      <w:iCs/>
    </w:rPr>
  </w:style>
  <w:style w:type="character" w:customStyle="1" w:styleId="yadgie">
    <w:name w:val="yadgie"/>
    <w:basedOn w:val="a0"/>
    <w:rsid w:val="00D97121"/>
  </w:style>
  <w:style w:type="character" w:styleId="a8">
    <w:name w:val="FollowedHyperlink"/>
    <w:basedOn w:val="a0"/>
    <w:uiPriority w:val="99"/>
    <w:semiHidden/>
    <w:unhideWhenUsed/>
    <w:rsid w:val="004B3B8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02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920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1231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840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357192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7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6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0448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9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761289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35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3559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64624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33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7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956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663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7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26297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95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3933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1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5531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8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9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3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63115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78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303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17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0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8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6291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9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84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7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816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1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2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63390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62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5513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9947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7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031424">
                  <w:marLeft w:val="0"/>
                  <w:marRight w:val="0"/>
                  <w:marTop w:val="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869849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90904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518578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3538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55211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118884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75514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66278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972525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07303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53881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415950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448808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10353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82443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87222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75763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9935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43849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57485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06780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726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2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8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5463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37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0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4232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2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91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85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8010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37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5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1463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341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1355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86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726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909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35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4688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75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2324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53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145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28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26134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1493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1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9224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16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6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8712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01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0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2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9A5D48-67F6-4437-AFA3-33C4AC8F06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242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dcterms:created xsi:type="dcterms:W3CDTF">2026-08-05T00:51:00Z</dcterms:created>
  <dcterms:modified xsi:type="dcterms:W3CDTF">2026-09-04T03:16:00Z</dcterms:modified>
</cp:coreProperties>
</file>