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00831" w:rsidRPr="00327D7E" w:rsidRDefault="007F7E9A" w:rsidP="0069358F">
      <w:pPr>
        <w:jc w:val="center"/>
        <w:rPr>
          <w:sz w:val="20"/>
          <w:szCs w:val="20"/>
        </w:rPr>
      </w:pPr>
      <w:r w:rsidRPr="00327D7E">
        <w:rPr>
          <w:rFonts w:hint="eastAsia"/>
          <w:sz w:val="20"/>
          <w:szCs w:val="20"/>
        </w:rPr>
        <w:t>法</w:t>
      </w:r>
      <w:r w:rsidR="00800831" w:rsidRPr="00327D7E">
        <w:rPr>
          <w:rFonts w:hint="eastAsia"/>
          <w:sz w:val="20"/>
          <w:szCs w:val="20"/>
        </w:rPr>
        <w:t>國</w:t>
      </w:r>
      <w:r w:rsidR="00536559">
        <w:rPr>
          <w:rFonts w:hint="eastAsia"/>
          <w:sz w:val="20"/>
          <w:szCs w:val="20"/>
        </w:rPr>
        <w:t>專利</w:t>
      </w:r>
    </w:p>
    <w:p w:rsidR="001867BA" w:rsidRPr="00327D7E" w:rsidRDefault="00FC24E6" w:rsidP="00D65FB0">
      <w:pPr>
        <w:jc w:val="center"/>
        <w:rPr>
          <w:sz w:val="20"/>
          <w:szCs w:val="20"/>
        </w:rPr>
      </w:pPr>
      <w:r>
        <w:t>INPI</w:t>
      </w:r>
      <w:r>
        <w:rPr>
          <w:rFonts w:hint="eastAsia"/>
        </w:rPr>
        <w:t xml:space="preserve"> </w:t>
      </w:r>
      <w:r w:rsidR="00D65FB0" w:rsidRPr="00327D7E">
        <w:rPr>
          <w:rFonts w:hint="eastAsia"/>
          <w:sz w:val="20"/>
          <w:szCs w:val="20"/>
        </w:rPr>
        <w:t>網址：</w:t>
      </w:r>
      <w:hyperlink r:id="rId7" w:history="1">
        <w:r w:rsidR="001867BA" w:rsidRPr="00601416">
          <w:rPr>
            <w:rStyle w:val="a6"/>
            <w:sz w:val="20"/>
            <w:szCs w:val="20"/>
          </w:rPr>
          <w:t>https://data.inpi.fr/</w:t>
        </w:r>
      </w:hyperlink>
      <w:bookmarkStart w:id="0" w:name="_GoBack"/>
      <w:bookmarkEnd w:id="0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16"/>
        <w:gridCol w:w="10182"/>
      </w:tblGrid>
      <w:tr w:rsidR="00800831" w:rsidRPr="00327D7E" w:rsidTr="00861D0B">
        <w:tc>
          <w:tcPr>
            <w:tcW w:w="416" w:type="dxa"/>
            <w:vAlign w:val="center"/>
          </w:tcPr>
          <w:p w:rsidR="00800831" w:rsidRPr="00327D7E" w:rsidRDefault="00800831" w:rsidP="0069358F">
            <w:pPr>
              <w:jc w:val="center"/>
              <w:rPr>
                <w:sz w:val="20"/>
                <w:szCs w:val="20"/>
              </w:rPr>
            </w:pPr>
            <w:r w:rsidRPr="00327D7E">
              <w:rPr>
                <w:rFonts w:hint="eastAsia"/>
                <w:sz w:val="20"/>
                <w:szCs w:val="20"/>
              </w:rPr>
              <w:t>專利種類</w:t>
            </w:r>
          </w:p>
        </w:tc>
        <w:tc>
          <w:tcPr>
            <w:tcW w:w="1018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91"/>
              <w:gridCol w:w="2492"/>
              <w:gridCol w:w="2491"/>
              <w:gridCol w:w="2492"/>
            </w:tblGrid>
            <w:tr w:rsidR="00221986" w:rsidRPr="00327D7E" w:rsidTr="00221986">
              <w:trPr>
                <w:tblCellSpacing w:w="15" w:type="dxa"/>
              </w:trPr>
              <w:tc>
                <w:tcPr>
                  <w:tcW w:w="2446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221986" w:rsidRPr="00221986" w:rsidRDefault="00221986" w:rsidP="00221986">
                  <w:pPr>
                    <w:widowControl/>
                    <w:jc w:val="center"/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</w:pPr>
                  <w:r w:rsidRPr="00221986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專利</w:t>
                  </w:r>
                  <w:r w:rsidRPr="00221986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/</w:t>
                  </w:r>
                  <w:r w:rsidRPr="00221986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保護種類</w:t>
                  </w:r>
                </w:p>
              </w:tc>
              <w:tc>
                <w:tcPr>
                  <w:tcW w:w="2462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221986" w:rsidRPr="00221986" w:rsidRDefault="00221986" w:rsidP="00221986">
                  <w:pPr>
                    <w:widowControl/>
                    <w:jc w:val="center"/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</w:pPr>
                  <w:r w:rsidRPr="00221986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保護年限（自申請日起算）</w:t>
                  </w:r>
                </w:p>
              </w:tc>
              <w:tc>
                <w:tcPr>
                  <w:tcW w:w="2461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221986" w:rsidRPr="00221986" w:rsidRDefault="00221986" w:rsidP="00221986">
                  <w:pPr>
                    <w:widowControl/>
                    <w:jc w:val="center"/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</w:pPr>
                  <w:r w:rsidRPr="00221986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審查制度</w:t>
                  </w:r>
                </w:p>
              </w:tc>
              <w:tc>
                <w:tcPr>
                  <w:tcW w:w="2447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221986" w:rsidRPr="00221986" w:rsidRDefault="00221986" w:rsidP="00221986">
                  <w:pPr>
                    <w:widowControl/>
                    <w:jc w:val="center"/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</w:pPr>
                  <w:r w:rsidRPr="00221986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核心保護標的</w:t>
                  </w:r>
                </w:p>
              </w:tc>
            </w:tr>
            <w:tr w:rsidR="00221986" w:rsidRPr="00327D7E" w:rsidTr="00221986">
              <w:trPr>
                <w:tblCellSpacing w:w="15" w:type="dxa"/>
              </w:trPr>
              <w:tc>
                <w:tcPr>
                  <w:tcW w:w="2446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221986" w:rsidRPr="00221986" w:rsidRDefault="00221986" w:rsidP="00221986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發明專利</w:t>
                  </w:r>
                </w:p>
              </w:tc>
              <w:tc>
                <w:tcPr>
                  <w:tcW w:w="2462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221986" w:rsidRPr="00221986" w:rsidRDefault="00221986" w:rsidP="00221986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 xml:space="preserve">20 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年</w:t>
                  </w:r>
                </w:p>
              </w:tc>
              <w:tc>
                <w:tcPr>
                  <w:tcW w:w="2461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221986" w:rsidRPr="00221986" w:rsidRDefault="00221986" w:rsidP="00221986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221986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實體審查制（含新穎性與進步性）</w:t>
                  </w:r>
                </w:p>
              </w:tc>
              <w:tc>
                <w:tcPr>
                  <w:tcW w:w="2447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221986" w:rsidRPr="00221986" w:rsidRDefault="00221986" w:rsidP="00221986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221986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具新穎性、進步性與產業利用性的技術發明。</w:t>
                  </w:r>
                </w:p>
              </w:tc>
            </w:tr>
            <w:tr w:rsidR="00221986" w:rsidRPr="00327D7E" w:rsidTr="00221986">
              <w:trPr>
                <w:tblCellSpacing w:w="15" w:type="dxa"/>
              </w:trPr>
              <w:tc>
                <w:tcPr>
                  <w:tcW w:w="2446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221986" w:rsidRPr="00221986" w:rsidRDefault="00221986" w:rsidP="00221986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新型專利</w:t>
                  </w:r>
                </w:p>
              </w:tc>
              <w:tc>
                <w:tcPr>
                  <w:tcW w:w="2462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221986" w:rsidRPr="00221986" w:rsidRDefault="00221986" w:rsidP="00221986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 xml:space="preserve">10 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年</w:t>
                  </w:r>
                  <w:r w:rsidRPr="00221986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（舊制為</w:t>
                  </w:r>
                  <w:r w:rsidRPr="00221986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6</w:t>
                  </w:r>
                  <w:r w:rsidRPr="00221986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年）</w:t>
                  </w:r>
                </w:p>
              </w:tc>
              <w:tc>
                <w:tcPr>
                  <w:tcW w:w="2461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221986" w:rsidRPr="00221986" w:rsidRDefault="00221986" w:rsidP="00221986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221986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形式審查制（不進行實體審查）</w:t>
                  </w:r>
                </w:p>
              </w:tc>
              <w:tc>
                <w:tcPr>
                  <w:tcW w:w="2447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221986" w:rsidRPr="00221986" w:rsidRDefault="00221986" w:rsidP="00221986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221986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技術發明（與發明專利標的相同，包含方法）。</w:t>
                  </w:r>
                </w:p>
              </w:tc>
            </w:tr>
            <w:tr w:rsidR="00221986" w:rsidRPr="00327D7E" w:rsidTr="00221986">
              <w:trPr>
                <w:tblCellSpacing w:w="15" w:type="dxa"/>
              </w:trPr>
              <w:tc>
                <w:tcPr>
                  <w:tcW w:w="2446" w:type="dxa"/>
                  <w:tcBorders>
                    <w:bottom w:val="nil"/>
                  </w:tcBorders>
                  <w:vAlign w:val="center"/>
                  <w:hideMark/>
                </w:tcPr>
                <w:p w:rsidR="00221986" w:rsidRPr="00221986" w:rsidRDefault="00221986" w:rsidP="00221986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設計專利</w:t>
                  </w:r>
                </w:p>
              </w:tc>
              <w:tc>
                <w:tcPr>
                  <w:tcW w:w="2462" w:type="dxa"/>
                  <w:tcBorders>
                    <w:bottom w:val="nil"/>
                  </w:tcBorders>
                  <w:vAlign w:val="center"/>
                  <w:hideMark/>
                </w:tcPr>
                <w:p w:rsidR="00221986" w:rsidRPr="00221986" w:rsidRDefault="00221986" w:rsidP="00221986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 xml:space="preserve">5 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年</w:t>
                  </w:r>
                  <w:r w:rsidRPr="00221986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（可展延</w:t>
                  </w:r>
                  <w:r w:rsidRPr="00221986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4</w:t>
                  </w:r>
                  <w:r w:rsidRPr="00221986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次，最長</w:t>
                  </w:r>
                  <w:r w:rsidRPr="00221986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 xml:space="preserve"> 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 xml:space="preserve">25 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年</w:t>
                  </w:r>
                  <w:r w:rsidRPr="00221986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）</w:t>
                  </w:r>
                </w:p>
              </w:tc>
              <w:tc>
                <w:tcPr>
                  <w:tcW w:w="2461" w:type="dxa"/>
                  <w:tcBorders>
                    <w:bottom w:val="nil"/>
                  </w:tcBorders>
                  <w:vAlign w:val="center"/>
                  <w:hideMark/>
                </w:tcPr>
                <w:p w:rsidR="00221986" w:rsidRPr="00221986" w:rsidRDefault="00221986" w:rsidP="00221986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221986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形式審查制</w:t>
                  </w:r>
                </w:p>
              </w:tc>
              <w:tc>
                <w:tcPr>
                  <w:tcW w:w="2447" w:type="dxa"/>
                  <w:tcBorders>
                    <w:bottom w:val="nil"/>
                  </w:tcBorders>
                  <w:vAlign w:val="center"/>
                  <w:hideMark/>
                </w:tcPr>
                <w:p w:rsidR="00221986" w:rsidRPr="00221986" w:rsidRDefault="00221986" w:rsidP="00221986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221986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產品全部或部分的創新外觀、線條、色彩或形狀。</w:t>
                  </w:r>
                </w:p>
              </w:tc>
            </w:tr>
          </w:tbl>
          <w:p w:rsidR="00800831" w:rsidRPr="00327D7E" w:rsidRDefault="00800831" w:rsidP="0069358F">
            <w:pPr>
              <w:jc w:val="center"/>
              <w:rPr>
                <w:sz w:val="20"/>
                <w:szCs w:val="20"/>
              </w:rPr>
            </w:pPr>
          </w:p>
        </w:tc>
      </w:tr>
      <w:tr w:rsidR="00800831" w:rsidRPr="00327D7E" w:rsidTr="00861D0B">
        <w:tc>
          <w:tcPr>
            <w:tcW w:w="416" w:type="dxa"/>
            <w:vAlign w:val="center"/>
          </w:tcPr>
          <w:p w:rsidR="00800831" w:rsidRPr="00327D7E" w:rsidRDefault="00800831" w:rsidP="0069358F">
            <w:pPr>
              <w:jc w:val="center"/>
              <w:rPr>
                <w:sz w:val="20"/>
                <w:szCs w:val="20"/>
              </w:rPr>
            </w:pPr>
            <w:r w:rsidRPr="00327D7E">
              <w:rPr>
                <w:rFonts w:hint="eastAsia"/>
                <w:sz w:val="20"/>
                <w:szCs w:val="20"/>
              </w:rPr>
              <w:t>申請要點</w:t>
            </w:r>
          </w:p>
        </w:tc>
        <w:tc>
          <w:tcPr>
            <w:tcW w:w="10182" w:type="dxa"/>
          </w:tcPr>
          <w:p w:rsidR="00BA3845" w:rsidRPr="00BA3845" w:rsidRDefault="00BA3845" w:rsidP="00BA3845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BA3845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="00B80AFA" w:rsidRPr="00327D7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引入進步性審查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：修法後，法國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INPI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不再只針對「明顯無新穎性」的案件進行核駁，亦會依據歐洲專利局（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EPO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）的檢索報告，對發明專利進行嚴格的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進步性（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Inventive Step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）審查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。</w:t>
            </w:r>
            <w:r w:rsidR="009874D8" w:rsidRPr="00327D7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</w:t>
            </w:r>
          </w:p>
          <w:p w:rsidR="00BA3845" w:rsidRPr="00BA3845" w:rsidRDefault="00BA3845" w:rsidP="00BA3845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BA3845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BA3845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臨時申請案機制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：申請人可先提交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臨時申請案（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Provisional Application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以快速取得優先權日，但必須在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12 </w:t>
            </w:r>
            <w:proofErr w:type="gramStart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個</w:t>
            </w:r>
            <w:proofErr w:type="gramEnd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月內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轉為正式的發明或新型專利。</w:t>
            </w:r>
            <w:r w:rsidR="009874D8" w:rsidRPr="00327D7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</w:t>
            </w:r>
          </w:p>
          <w:p w:rsidR="00BA3845" w:rsidRPr="00BA3845" w:rsidRDefault="00BA3845" w:rsidP="00BA3845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BA3845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="00B80AFA" w:rsidRPr="00327D7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新型與發明可互轉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</w:t>
            </w:r>
          </w:p>
          <w:p w:rsidR="00BA3845" w:rsidRPr="00BA3845" w:rsidRDefault="00D222AA" w:rsidP="00D222AA">
            <w:pPr>
              <w:widowControl/>
              <w:ind w:firstLineChars="100" w:firstLine="20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BA3845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="00BA3845"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發明專利若未在申請時或</w:t>
            </w:r>
            <w:r w:rsidR="00BA3845"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18 </w:t>
            </w:r>
            <w:proofErr w:type="gramStart"/>
            <w:r w:rsidR="00BA3845"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個</w:t>
            </w:r>
            <w:proofErr w:type="gramEnd"/>
            <w:r w:rsidR="00BA3845"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月內提請新穎性調查，會自動被轉換為新型專利。</w:t>
            </w:r>
          </w:p>
          <w:p w:rsidR="00BA3845" w:rsidRPr="00BA3845" w:rsidRDefault="00D222AA" w:rsidP="00D222AA">
            <w:pPr>
              <w:widowControl/>
              <w:ind w:firstLineChars="100" w:firstLine="20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BA3845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="00BA3845"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新型專利在法定期限內，亦可申請轉換為發明專利（但須補做實體審查）。</w:t>
            </w:r>
            <w:r w:rsidR="009874D8"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</w:t>
            </w:r>
          </w:p>
          <w:p w:rsidR="00BA3845" w:rsidRPr="00BA3845" w:rsidRDefault="00BA3845" w:rsidP="00BA3845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BA3845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="00B80AFA" w:rsidRPr="00327D7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新型專利</w:t>
            </w:r>
            <w:proofErr w:type="gramStart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發證快</w:t>
            </w:r>
            <w:proofErr w:type="gramEnd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：新型專利因免除檢索與實體審查費用，通常在申請後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6 </w:t>
            </w:r>
            <w:proofErr w:type="gramStart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個</w:t>
            </w:r>
            <w:proofErr w:type="gramEnd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月內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即可形式核准並公告發證。</w:t>
            </w:r>
          </w:p>
          <w:p w:rsidR="00BA3845" w:rsidRPr="00BA3845" w:rsidRDefault="00BA3845" w:rsidP="00BA3845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BA3845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="00B80AFA" w:rsidRPr="00327D7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引入核准後異議制度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：公眾可在發明專利核准公告後的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特定期限內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向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INPI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提出異議（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Opposition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），提供第三方成本更低的撤銷管道。</w:t>
            </w:r>
          </w:p>
          <w:p w:rsidR="00800831" w:rsidRPr="00327D7E" w:rsidRDefault="00BA3845" w:rsidP="00B80AFA">
            <w:pPr>
              <w:widowControl/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="00B80AFA" w:rsidRPr="00327D7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國防安全審查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：所有在法國提出的專利申請案，皆須於初期（約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1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至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5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個月內）移交國防部進行安全審查，通過後才可繼續審查或對外公開。</w:t>
            </w:r>
          </w:p>
        </w:tc>
      </w:tr>
      <w:tr w:rsidR="00800831" w:rsidRPr="00327D7E" w:rsidTr="00861D0B">
        <w:tc>
          <w:tcPr>
            <w:tcW w:w="416" w:type="dxa"/>
            <w:vAlign w:val="center"/>
          </w:tcPr>
          <w:p w:rsidR="00800831" w:rsidRPr="00327D7E" w:rsidRDefault="00800831" w:rsidP="0069358F">
            <w:pPr>
              <w:jc w:val="center"/>
              <w:rPr>
                <w:sz w:val="20"/>
                <w:szCs w:val="20"/>
              </w:rPr>
            </w:pPr>
            <w:r w:rsidRPr="00327D7E">
              <w:rPr>
                <w:rFonts w:hint="eastAsia"/>
                <w:sz w:val="20"/>
                <w:szCs w:val="20"/>
              </w:rPr>
              <w:t>專利爭議侵權</w:t>
            </w:r>
          </w:p>
        </w:tc>
        <w:tc>
          <w:tcPr>
            <w:tcW w:w="10182" w:type="dxa"/>
          </w:tcPr>
          <w:p w:rsidR="00673D4D" w:rsidRPr="00673D4D" w:rsidRDefault="00673D4D" w:rsidP="00673D4D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673D4D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="00B80AFA" w:rsidRPr="00327D7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一元化司法管轄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：法國實行特殊的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專利爭</w:t>
            </w:r>
            <w:proofErr w:type="gramStart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訟</w:t>
            </w:r>
            <w:proofErr w:type="gramEnd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一元制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，專利侵權訴訟與專利無效宣告（抗辯），皆統一由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巴黎高等法院（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Tribunal de </w:t>
            </w:r>
            <w:proofErr w:type="spellStart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Judiciaire</w:t>
            </w:r>
            <w:proofErr w:type="spellEnd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 de Paris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專管審理，避免了行政與民事程序雙軌脫</w:t>
            </w:r>
            <w:proofErr w:type="gramStart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鉤</w:t>
            </w:r>
            <w:proofErr w:type="gramEnd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的問題。</w:t>
            </w:r>
          </w:p>
          <w:p w:rsidR="00673D4D" w:rsidRPr="00673D4D" w:rsidRDefault="00673D4D" w:rsidP="00673D4D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673D4D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="00B80AFA" w:rsidRPr="00327D7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扣押搜索制度（</w:t>
            </w:r>
            <w:proofErr w:type="spellStart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Saisie-contrefaçon</w:t>
            </w:r>
            <w:proofErr w:type="spellEnd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：這是法國極具特色的侵權取證手段。權利人可在提起訴訟前，向法院申請專利扣押令，在執</w:t>
            </w:r>
            <w:proofErr w:type="gramStart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達吏與專家</w:t>
            </w:r>
            <w:proofErr w:type="gramEnd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的陪同下，突擊前往涉嫌侵權者的營業場所進行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現場搜查、拍照並扣押</w:t>
            </w:r>
            <w:proofErr w:type="gramStart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帳冊</w:t>
            </w:r>
            <w:proofErr w:type="gramEnd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或樣品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，侵權人不得拒絕。</w:t>
            </w:r>
          </w:p>
          <w:p w:rsidR="00673D4D" w:rsidRPr="00673D4D" w:rsidRDefault="00673D4D" w:rsidP="00673D4D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673D4D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="00B80AFA" w:rsidRPr="00327D7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新型專利訴訟限制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：若欲基於「新型專利」提起侵權訴訟，原告必須先向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INPI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請求製作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初步檢索報告（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Preliminary Search Report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，否則該訴訟將不被法院受理。</w:t>
            </w:r>
          </w:p>
          <w:p w:rsidR="00673D4D" w:rsidRPr="00673D4D" w:rsidRDefault="00673D4D" w:rsidP="00673D4D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673D4D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="00B80AFA" w:rsidRPr="00327D7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判定原則（全要件與等同原則）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</w:t>
            </w:r>
          </w:p>
          <w:p w:rsidR="00673D4D" w:rsidRPr="00673D4D" w:rsidRDefault="00D222AA" w:rsidP="00D222AA">
            <w:pPr>
              <w:widowControl/>
              <w:ind w:firstLineChars="100" w:firstLine="20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BA3845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proofErr w:type="gramStart"/>
            <w:r w:rsidR="00673D4D"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文義侵權</w:t>
            </w:r>
            <w:proofErr w:type="gramEnd"/>
            <w:r w:rsidR="00673D4D"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：被控侵權產品包含專利權利要求書中的全部技術特徵。</w:t>
            </w:r>
          </w:p>
          <w:p w:rsidR="00673D4D" w:rsidRPr="00673D4D" w:rsidRDefault="00D222AA" w:rsidP="00D222AA">
            <w:pPr>
              <w:widowControl/>
              <w:ind w:firstLineChars="100" w:firstLine="20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BA3845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="00673D4D"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等同原則（</w:t>
            </w:r>
            <w:r w:rsidR="00673D4D"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Doctrine of Equivalents</w:t>
            </w:r>
            <w:r w:rsidR="00673D4D"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</w:t>
            </w:r>
            <w:r w:rsidR="00673D4D"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：若被控</w:t>
            </w:r>
            <w:proofErr w:type="gramStart"/>
            <w:r w:rsidR="00673D4D"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侵權物是</w:t>
            </w:r>
            <w:proofErr w:type="gramEnd"/>
            <w:r w:rsidR="00673D4D"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以「實質相同的手段」，實現「實質相同的功能」，並達到「實質相同的效果」，即使字面不完全相同，仍構成侵權。</w:t>
            </w:r>
            <w:r w:rsidR="009874D8"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</w:t>
            </w:r>
          </w:p>
          <w:p w:rsidR="00673D4D" w:rsidRPr="00673D4D" w:rsidRDefault="00673D4D" w:rsidP="00673D4D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673D4D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="00B80AFA" w:rsidRPr="00327D7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救濟與賠償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：法院可判處侵權人立即停止侵權（禁令）、銷毀侵權產品、賠償權利人所受損失與所失利益，或沒收侵權所得。</w:t>
            </w:r>
          </w:p>
          <w:p w:rsidR="00800831" w:rsidRPr="00327D7E" w:rsidRDefault="00673D4D" w:rsidP="00673D4D">
            <w:pPr>
              <w:widowControl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="00B80AFA" w:rsidRPr="00327D7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消滅時效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：專利侵權訴訟的追訴時效，通常為權利人「知悉或應知悉」侵權行為之日起算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5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年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。</w:t>
            </w:r>
          </w:p>
        </w:tc>
      </w:tr>
    </w:tbl>
    <w:p w:rsidR="00800831" w:rsidRPr="008B66ED" w:rsidRDefault="00800831" w:rsidP="0069358F">
      <w:pPr>
        <w:widowControl/>
        <w:rPr>
          <w:sz w:val="20"/>
          <w:szCs w:val="20"/>
        </w:rPr>
      </w:pPr>
    </w:p>
    <w:sectPr w:rsidR="00800831" w:rsidRPr="008B66ED" w:rsidSect="002B2418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371825"/>
    <w:multiLevelType w:val="multilevel"/>
    <w:tmpl w:val="CFB87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D42204"/>
    <w:multiLevelType w:val="multilevel"/>
    <w:tmpl w:val="79788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2A0D8B"/>
    <w:multiLevelType w:val="multilevel"/>
    <w:tmpl w:val="66F2A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A4E7D4E"/>
    <w:multiLevelType w:val="multilevel"/>
    <w:tmpl w:val="EACC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CDD20A1"/>
    <w:multiLevelType w:val="multilevel"/>
    <w:tmpl w:val="D4544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34205A6"/>
    <w:multiLevelType w:val="multilevel"/>
    <w:tmpl w:val="E6609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3CE7B6F"/>
    <w:multiLevelType w:val="multilevel"/>
    <w:tmpl w:val="391AF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4A35C8A"/>
    <w:multiLevelType w:val="multilevel"/>
    <w:tmpl w:val="C1765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BE26F2B"/>
    <w:multiLevelType w:val="multilevel"/>
    <w:tmpl w:val="4CFCC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E8A5424"/>
    <w:multiLevelType w:val="multilevel"/>
    <w:tmpl w:val="44804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34A7591"/>
    <w:multiLevelType w:val="multilevel"/>
    <w:tmpl w:val="0C22B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6ED130E"/>
    <w:multiLevelType w:val="multilevel"/>
    <w:tmpl w:val="603C6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A8B42EE"/>
    <w:multiLevelType w:val="multilevel"/>
    <w:tmpl w:val="B4048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BEC47AA"/>
    <w:multiLevelType w:val="multilevel"/>
    <w:tmpl w:val="F0465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0416C7D"/>
    <w:multiLevelType w:val="multilevel"/>
    <w:tmpl w:val="73446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5361767"/>
    <w:multiLevelType w:val="multilevel"/>
    <w:tmpl w:val="E612D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60A603E"/>
    <w:multiLevelType w:val="multilevel"/>
    <w:tmpl w:val="C4F2E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D43061D"/>
    <w:multiLevelType w:val="multilevel"/>
    <w:tmpl w:val="5DE2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1773A08"/>
    <w:multiLevelType w:val="multilevel"/>
    <w:tmpl w:val="FC8AD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2880F7B"/>
    <w:multiLevelType w:val="multilevel"/>
    <w:tmpl w:val="10AE5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75C6478"/>
    <w:multiLevelType w:val="multilevel"/>
    <w:tmpl w:val="56C40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7C21A57"/>
    <w:multiLevelType w:val="multilevel"/>
    <w:tmpl w:val="703AE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85B183E"/>
    <w:multiLevelType w:val="multilevel"/>
    <w:tmpl w:val="52003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A240B92"/>
    <w:multiLevelType w:val="multilevel"/>
    <w:tmpl w:val="27927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4B0304A6"/>
    <w:multiLevelType w:val="multilevel"/>
    <w:tmpl w:val="E7C4F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506B60D2"/>
    <w:multiLevelType w:val="multilevel"/>
    <w:tmpl w:val="5936D82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54F4622B"/>
    <w:multiLevelType w:val="multilevel"/>
    <w:tmpl w:val="B3B80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90A1B6C"/>
    <w:multiLevelType w:val="multilevel"/>
    <w:tmpl w:val="7E9E1910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B20128F"/>
    <w:multiLevelType w:val="multilevel"/>
    <w:tmpl w:val="579EB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B632E3B"/>
    <w:multiLevelType w:val="multilevel"/>
    <w:tmpl w:val="98B6F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BA64B85"/>
    <w:multiLevelType w:val="multilevel"/>
    <w:tmpl w:val="D99CEB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5BCC6494"/>
    <w:multiLevelType w:val="multilevel"/>
    <w:tmpl w:val="94FAC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CE74F33"/>
    <w:multiLevelType w:val="multilevel"/>
    <w:tmpl w:val="487651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5F9772EE"/>
    <w:multiLevelType w:val="multilevel"/>
    <w:tmpl w:val="E1A64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03A490D"/>
    <w:multiLevelType w:val="multilevel"/>
    <w:tmpl w:val="8F6A4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08B7C6C"/>
    <w:multiLevelType w:val="multilevel"/>
    <w:tmpl w:val="FCE22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36C02A7"/>
    <w:multiLevelType w:val="multilevel"/>
    <w:tmpl w:val="D97CF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4C704CD"/>
    <w:multiLevelType w:val="multilevel"/>
    <w:tmpl w:val="A6FC9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7322985"/>
    <w:multiLevelType w:val="multilevel"/>
    <w:tmpl w:val="2C925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8C75A7A"/>
    <w:multiLevelType w:val="multilevel"/>
    <w:tmpl w:val="7F541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9801B25"/>
    <w:multiLevelType w:val="multilevel"/>
    <w:tmpl w:val="01BCC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AB32F3D"/>
    <w:multiLevelType w:val="multilevel"/>
    <w:tmpl w:val="CFF80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6B0322E6"/>
    <w:multiLevelType w:val="multilevel"/>
    <w:tmpl w:val="12DE4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6C2B6BC2"/>
    <w:multiLevelType w:val="multilevel"/>
    <w:tmpl w:val="6F848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6E091374"/>
    <w:multiLevelType w:val="multilevel"/>
    <w:tmpl w:val="DCBEF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1D53EBA"/>
    <w:multiLevelType w:val="multilevel"/>
    <w:tmpl w:val="4B72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7CB165E1"/>
    <w:multiLevelType w:val="multilevel"/>
    <w:tmpl w:val="79E6F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7EDB6807"/>
    <w:multiLevelType w:val="multilevel"/>
    <w:tmpl w:val="2054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7F77415D"/>
    <w:multiLevelType w:val="multilevel"/>
    <w:tmpl w:val="79EA8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6"/>
  </w:num>
  <w:num w:numId="2">
    <w:abstractNumId w:val="33"/>
  </w:num>
  <w:num w:numId="3">
    <w:abstractNumId w:val="8"/>
  </w:num>
  <w:num w:numId="4">
    <w:abstractNumId w:val="21"/>
  </w:num>
  <w:num w:numId="5">
    <w:abstractNumId w:val="45"/>
  </w:num>
  <w:num w:numId="6">
    <w:abstractNumId w:val="39"/>
  </w:num>
  <w:num w:numId="7">
    <w:abstractNumId w:val="11"/>
  </w:num>
  <w:num w:numId="8">
    <w:abstractNumId w:val="0"/>
  </w:num>
  <w:num w:numId="9">
    <w:abstractNumId w:val="25"/>
  </w:num>
  <w:num w:numId="10">
    <w:abstractNumId w:val="41"/>
  </w:num>
  <w:num w:numId="11">
    <w:abstractNumId w:val="22"/>
  </w:num>
  <w:num w:numId="12">
    <w:abstractNumId w:val="6"/>
  </w:num>
  <w:num w:numId="13">
    <w:abstractNumId w:val="14"/>
  </w:num>
  <w:num w:numId="14">
    <w:abstractNumId w:val="32"/>
  </w:num>
  <w:num w:numId="15">
    <w:abstractNumId w:val="26"/>
  </w:num>
  <w:num w:numId="16">
    <w:abstractNumId w:val="27"/>
  </w:num>
  <w:num w:numId="17">
    <w:abstractNumId w:val="10"/>
  </w:num>
  <w:num w:numId="18">
    <w:abstractNumId w:val="23"/>
  </w:num>
  <w:num w:numId="19">
    <w:abstractNumId w:val="3"/>
  </w:num>
  <w:num w:numId="20">
    <w:abstractNumId w:val="30"/>
  </w:num>
  <w:num w:numId="21">
    <w:abstractNumId w:val="20"/>
  </w:num>
  <w:num w:numId="22">
    <w:abstractNumId w:val="28"/>
  </w:num>
  <w:num w:numId="23">
    <w:abstractNumId w:val="24"/>
  </w:num>
  <w:num w:numId="24">
    <w:abstractNumId w:val="2"/>
  </w:num>
  <w:num w:numId="25">
    <w:abstractNumId w:val="40"/>
  </w:num>
  <w:num w:numId="26">
    <w:abstractNumId w:val="9"/>
  </w:num>
  <w:num w:numId="27">
    <w:abstractNumId w:val="35"/>
  </w:num>
  <w:num w:numId="28">
    <w:abstractNumId w:val="13"/>
  </w:num>
  <w:num w:numId="29">
    <w:abstractNumId w:val="34"/>
  </w:num>
  <w:num w:numId="30">
    <w:abstractNumId w:val="7"/>
  </w:num>
  <w:num w:numId="31">
    <w:abstractNumId w:val="18"/>
  </w:num>
  <w:num w:numId="32">
    <w:abstractNumId w:val="19"/>
  </w:num>
  <w:num w:numId="33">
    <w:abstractNumId w:val="12"/>
  </w:num>
  <w:num w:numId="34">
    <w:abstractNumId w:val="31"/>
  </w:num>
  <w:num w:numId="35">
    <w:abstractNumId w:val="4"/>
  </w:num>
  <w:num w:numId="36">
    <w:abstractNumId w:val="48"/>
  </w:num>
  <w:num w:numId="37">
    <w:abstractNumId w:val="44"/>
  </w:num>
  <w:num w:numId="38">
    <w:abstractNumId w:val="17"/>
  </w:num>
  <w:num w:numId="39">
    <w:abstractNumId w:val="29"/>
  </w:num>
  <w:num w:numId="40">
    <w:abstractNumId w:val="42"/>
  </w:num>
  <w:num w:numId="41">
    <w:abstractNumId w:val="5"/>
  </w:num>
  <w:num w:numId="42">
    <w:abstractNumId w:val="16"/>
  </w:num>
  <w:num w:numId="43">
    <w:abstractNumId w:val="43"/>
  </w:num>
  <w:num w:numId="44">
    <w:abstractNumId w:val="15"/>
  </w:num>
  <w:num w:numId="45">
    <w:abstractNumId w:val="47"/>
  </w:num>
  <w:num w:numId="46">
    <w:abstractNumId w:val="38"/>
  </w:num>
  <w:num w:numId="47">
    <w:abstractNumId w:val="37"/>
  </w:num>
  <w:num w:numId="48">
    <w:abstractNumId w:val="1"/>
  </w:num>
  <w:num w:numId="49">
    <w:abstractNumId w:val="36"/>
  </w:num>
  <w:numIdMacAtCleanup w:val="4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2418"/>
    <w:rsid w:val="000132D8"/>
    <w:rsid w:val="00061066"/>
    <w:rsid w:val="00114651"/>
    <w:rsid w:val="001867BA"/>
    <w:rsid w:val="00207493"/>
    <w:rsid w:val="00221986"/>
    <w:rsid w:val="002268FE"/>
    <w:rsid w:val="002614B9"/>
    <w:rsid w:val="00281ED7"/>
    <w:rsid w:val="002B2418"/>
    <w:rsid w:val="00304F0E"/>
    <w:rsid w:val="00311A04"/>
    <w:rsid w:val="00326595"/>
    <w:rsid w:val="00327D7E"/>
    <w:rsid w:val="00335FF7"/>
    <w:rsid w:val="00351403"/>
    <w:rsid w:val="0038473A"/>
    <w:rsid w:val="003934F9"/>
    <w:rsid w:val="003A72A6"/>
    <w:rsid w:val="003D135A"/>
    <w:rsid w:val="00405226"/>
    <w:rsid w:val="00467E37"/>
    <w:rsid w:val="0047427D"/>
    <w:rsid w:val="004B580E"/>
    <w:rsid w:val="00520620"/>
    <w:rsid w:val="00536559"/>
    <w:rsid w:val="00546396"/>
    <w:rsid w:val="00582563"/>
    <w:rsid w:val="00673D4D"/>
    <w:rsid w:val="0069358F"/>
    <w:rsid w:val="00693E2E"/>
    <w:rsid w:val="006B1F6B"/>
    <w:rsid w:val="00703A18"/>
    <w:rsid w:val="00707DF0"/>
    <w:rsid w:val="00751E8C"/>
    <w:rsid w:val="007B3EB0"/>
    <w:rsid w:val="007C4A0E"/>
    <w:rsid w:val="007E4ADC"/>
    <w:rsid w:val="007F7E9A"/>
    <w:rsid w:val="00800831"/>
    <w:rsid w:val="00832E41"/>
    <w:rsid w:val="00861D0B"/>
    <w:rsid w:val="00871FC8"/>
    <w:rsid w:val="0087517A"/>
    <w:rsid w:val="00883F16"/>
    <w:rsid w:val="008B66ED"/>
    <w:rsid w:val="008D1B6E"/>
    <w:rsid w:val="008F4EE6"/>
    <w:rsid w:val="0092228A"/>
    <w:rsid w:val="0097671F"/>
    <w:rsid w:val="00976859"/>
    <w:rsid w:val="009874D8"/>
    <w:rsid w:val="009E242B"/>
    <w:rsid w:val="009F73AC"/>
    <w:rsid w:val="00A21A77"/>
    <w:rsid w:val="00A24D8F"/>
    <w:rsid w:val="00A31B11"/>
    <w:rsid w:val="00A323F0"/>
    <w:rsid w:val="00A377C6"/>
    <w:rsid w:val="00AE0F46"/>
    <w:rsid w:val="00AF652F"/>
    <w:rsid w:val="00B1669C"/>
    <w:rsid w:val="00B312BB"/>
    <w:rsid w:val="00B63ACC"/>
    <w:rsid w:val="00B67052"/>
    <w:rsid w:val="00B67EFB"/>
    <w:rsid w:val="00B75DE5"/>
    <w:rsid w:val="00B8067C"/>
    <w:rsid w:val="00B80AFA"/>
    <w:rsid w:val="00BA3845"/>
    <w:rsid w:val="00BB209B"/>
    <w:rsid w:val="00BB50E0"/>
    <w:rsid w:val="00C9490D"/>
    <w:rsid w:val="00CF5C39"/>
    <w:rsid w:val="00D222AA"/>
    <w:rsid w:val="00D65FB0"/>
    <w:rsid w:val="00D97121"/>
    <w:rsid w:val="00DB7E6F"/>
    <w:rsid w:val="00DC2B0F"/>
    <w:rsid w:val="00DC65BD"/>
    <w:rsid w:val="00DF138F"/>
    <w:rsid w:val="00E031AE"/>
    <w:rsid w:val="00E143F6"/>
    <w:rsid w:val="00E333F6"/>
    <w:rsid w:val="00E4178B"/>
    <w:rsid w:val="00EE1147"/>
    <w:rsid w:val="00EF323B"/>
    <w:rsid w:val="00F46448"/>
    <w:rsid w:val="00F52C54"/>
    <w:rsid w:val="00F7564B"/>
    <w:rsid w:val="00FC24E6"/>
    <w:rsid w:val="00FF2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B241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Strong"/>
    <w:basedOn w:val="a0"/>
    <w:uiPriority w:val="22"/>
    <w:qFormat/>
    <w:rsid w:val="002B2418"/>
    <w:rPr>
      <w:b/>
      <w:bCs/>
    </w:rPr>
  </w:style>
  <w:style w:type="character" w:customStyle="1" w:styleId="inqyif">
    <w:name w:val="inqyif"/>
    <w:basedOn w:val="a0"/>
    <w:rsid w:val="002B2418"/>
  </w:style>
  <w:style w:type="paragraph" w:styleId="a5">
    <w:name w:val="List Paragraph"/>
    <w:basedOn w:val="a"/>
    <w:uiPriority w:val="34"/>
    <w:qFormat/>
    <w:rsid w:val="00335FF7"/>
    <w:pPr>
      <w:ind w:leftChars="200" w:left="480"/>
    </w:pPr>
  </w:style>
  <w:style w:type="character" w:styleId="a6">
    <w:name w:val="Hyperlink"/>
    <w:basedOn w:val="a0"/>
    <w:uiPriority w:val="99"/>
    <w:unhideWhenUsed/>
    <w:rsid w:val="00BA3845"/>
    <w:rPr>
      <w:color w:val="0000FF"/>
      <w:u w:val="single"/>
    </w:rPr>
  </w:style>
  <w:style w:type="character" w:styleId="a7">
    <w:name w:val="Emphasis"/>
    <w:basedOn w:val="a0"/>
    <w:uiPriority w:val="20"/>
    <w:qFormat/>
    <w:rsid w:val="00326595"/>
    <w:rPr>
      <w:i/>
      <w:iCs/>
    </w:rPr>
  </w:style>
  <w:style w:type="character" w:customStyle="1" w:styleId="yadgie">
    <w:name w:val="yadgie"/>
    <w:basedOn w:val="a0"/>
    <w:rsid w:val="00D9712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B241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Strong"/>
    <w:basedOn w:val="a0"/>
    <w:uiPriority w:val="22"/>
    <w:qFormat/>
    <w:rsid w:val="002B2418"/>
    <w:rPr>
      <w:b/>
      <w:bCs/>
    </w:rPr>
  </w:style>
  <w:style w:type="character" w:customStyle="1" w:styleId="inqyif">
    <w:name w:val="inqyif"/>
    <w:basedOn w:val="a0"/>
    <w:rsid w:val="002B2418"/>
  </w:style>
  <w:style w:type="paragraph" w:styleId="a5">
    <w:name w:val="List Paragraph"/>
    <w:basedOn w:val="a"/>
    <w:uiPriority w:val="34"/>
    <w:qFormat/>
    <w:rsid w:val="00335FF7"/>
    <w:pPr>
      <w:ind w:leftChars="200" w:left="480"/>
    </w:pPr>
  </w:style>
  <w:style w:type="character" w:styleId="a6">
    <w:name w:val="Hyperlink"/>
    <w:basedOn w:val="a0"/>
    <w:uiPriority w:val="99"/>
    <w:unhideWhenUsed/>
    <w:rsid w:val="00BA3845"/>
    <w:rPr>
      <w:color w:val="0000FF"/>
      <w:u w:val="single"/>
    </w:rPr>
  </w:style>
  <w:style w:type="character" w:styleId="a7">
    <w:name w:val="Emphasis"/>
    <w:basedOn w:val="a0"/>
    <w:uiPriority w:val="20"/>
    <w:qFormat/>
    <w:rsid w:val="00326595"/>
    <w:rPr>
      <w:i/>
      <w:iCs/>
    </w:rPr>
  </w:style>
  <w:style w:type="character" w:customStyle="1" w:styleId="yadgie">
    <w:name w:val="yadgie"/>
    <w:basedOn w:val="a0"/>
    <w:rsid w:val="00D971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02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69207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01231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48408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4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357192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7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3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16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8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04484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97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82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761289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35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06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2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4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6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35591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164624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33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7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69562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96634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78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926297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95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3933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15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55315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88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0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0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93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9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73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4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631151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78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73031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68172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02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8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62910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94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843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75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18160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18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4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2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82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63390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62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0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65513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29947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77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8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8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97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031424">
                  <w:marLeft w:val="0"/>
                  <w:marRight w:val="0"/>
                  <w:marTop w:val="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4869849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790904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9518578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035381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055211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6118884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5755141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0662782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6972525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6073036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0538811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2415950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4448808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910353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5824436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0872222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775763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59935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6438497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257485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4067807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726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72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8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54632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37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4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4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6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0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6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64232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26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7914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85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5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28010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37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35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8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4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8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14633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83412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01355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86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3726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59093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35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46889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75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23245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53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7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5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96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11456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28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2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26134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14938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18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4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592241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16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36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92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88712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01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9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0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22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1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7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1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data.inpi.fr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2FF927-38A1-4CCB-837A-DCA9E5DB3A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196</Words>
  <Characters>1119</Characters>
  <Application>Microsoft Office Word</Application>
  <DocSecurity>0</DocSecurity>
  <Lines>9</Lines>
  <Paragraphs>2</Paragraphs>
  <ScaleCrop>false</ScaleCrop>
  <Company/>
  <LinksUpToDate>false</LinksUpToDate>
  <CharactersWithSpaces>1313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</cp:revision>
  <dcterms:created xsi:type="dcterms:W3CDTF">2026-08-05T00:45:00Z</dcterms:created>
  <dcterms:modified xsi:type="dcterms:W3CDTF">2026-09-04T05:29:00Z</dcterms:modified>
</cp:coreProperties>
</file>