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493" w:rsidRPr="00327D7E" w:rsidRDefault="00207493" w:rsidP="004B580E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澳洲</w:t>
      </w:r>
      <w:r w:rsidR="00536559">
        <w:rPr>
          <w:rFonts w:hint="eastAsia"/>
          <w:sz w:val="20"/>
          <w:szCs w:val="20"/>
        </w:rPr>
        <w:t>專利</w:t>
      </w:r>
    </w:p>
    <w:p w:rsidR="007D1F0A" w:rsidRPr="00327D7E" w:rsidRDefault="00351403" w:rsidP="004B580E">
      <w:pPr>
        <w:jc w:val="center"/>
        <w:rPr>
          <w:sz w:val="20"/>
          <w:szCs w:val="20"/>
        </w:rPr>
      </w:pPr>
      <w:r>
        <w:t>IP Australia</w:t>
      </w:r>
      <w:r>
        <w:rPr>
          <w:rFonts w:hint="eastAsia"/>
        </w:rPr>
        <w:t xml:space="preserve"> </w:t>
      </w:r>
      <w:r w:rsidR="004B580E" w:rsidRPr="00327D7E">
        <w:rPr>
          <w:rFonts w:hint="eastAsia"/>
          <w:sz w:val="20"/>
          <w:szCs w:val="20"/>
        </w:rPr>
        <w:t>網址：</w:t>
      </w:r>
      <w:hyperlink r:id="rId7" w:history="1">
        <w:r w:rsidR="007D1F0A" w:rsidRPr="00B87B89">
          <w:rPr>
            <w:rStyle w:val="a6"/>
            <w:sz w:val="20"/>
            <w:szCs w:val="20"/>
          </w:rPr>
          <w:t>https://www.ipaustralia.gov.au/</w:t>
        </w:r>
      </w:hyperlink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標準專利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即發明專利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（醫藥專利特定情況下最長可延至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Inventive Step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）與產業利用性的全新技術產品或方法。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澳洲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已於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2021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年全面廢除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新型專利（創新專利）制度。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註冊設計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1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5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雙軌制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（形式審查直接登記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訴訟前須強制實體審查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應用於產品上，由形狀、配置、圖案或裝飾組成的創新視覺特徵。</w:t>
                  </w:r>
                </w:p>
              </w:tc>
            </w:tr>
          </w:tbl>
          <w:p w:rsidR="004B580E" w:rsidRPr="00327D7E" w:rsidRDefault="004B580E" w:rsidP="00707DF0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單軌制時代全面來臨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：澳洲過去廣受中小企業歡迎的「創新專利（新型專利）」已在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2021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日後停止受理新案申請</w:t>
            </w:r>
            <w:bookmarkStart w:id="0" w:name="_GoBack"/>
            <w:bookmarkEnd w:id="0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。現在所有的技術改良，不論規模大小，在澳洲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一律只能申請「標準專利」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提出實體審查的法定期限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：申請人必須在收到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 Australia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的實體審查通知書（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Examination Notice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，或是自申請日起算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（以先到期者為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準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），主動提出實體審查請求並繳費，否則案件將被視為撤回。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軟體與商業方法的可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專利性限縮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：澳洲聯邦法院在歷經多起指標性判例後（如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i/>
                <w:iCs/>
                <w:kern w:val="0"/>
                <w:sz w:val="20"/>
                <w:szCs w:val="20"/>
              </w:rPr>
              <w:t>Aristocrat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案），建立了嚴格的軟體審查標準。在澳洲，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單純將「商業方法」以一般電腦軟體來實施，是無法獲得專利的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。軟體發明必須證明該軟體解決了「電腦內部運作的技術問題」，或是產生了具體的「技術改進與實質效果」才可獲證。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：澳洲擁有非常寬鬆的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新穎性優惠期。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包含「發明人自己（或其前手）在世界任何地方主動發表、公開或進行商業銷售」的行為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。只要在首次公開行為起算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年內向澳洲遞交「標準專利完整申請案」，該公開行為就不會破壞其新穎性。</w:t>
            </w:r>
          </w:p>
          <w:p w:rsidR="004B580E" w:rsidRPr="00327D7E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外國人強制代理與英文翻譯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：外國申請人若在澳洲境內沒有主要營業場所，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必須強制委託澳洲當地的註冊專利代理人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所有提交的技術文件必須為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英文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：澳洲的專利侵權訴訟與專利無效宣告（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）反訴，統一由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澳洲聯邦法院（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 of Australia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管轄。聯邦法院的法官在審理高科技、生技醫藥等跨國專利案件上，具備極高的專業度與全球公信力。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設計專利訴訟的「強制審查」門檻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：在澳洲，工業設計採取形式審查通過後即直接給予「登記（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Registered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）」。但如果您欲基於該註冊設計對他人提起侵權訴訟，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必須在起訴前向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IP Australia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申請並通過「實體審查」取得認證證書（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Certified Design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，否則該設計權無法在法院行使。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判定原則（目的性解釋與實質特徵）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澳洲法院在判定侵權時，採用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全要件原則（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All Elements Rule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進行字面文義比對。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若字面不完全相符，法院亦適用等同原則，在澳洲司法實務中稱為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「目的性解釋（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。法官會檢視被告產品雖然替換了部分元件，但對於該領域普通技術人員而言，該置換是否屬於「非本質特徵（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 element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）」。若是，則仍會判定侵權成立。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威脅濫訴的反制機制（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Unjustifiable Threats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：澳洲法律為防止大企業利用專利實力霸凌中小企業，設有嚴格的「不當威脅警告」條款。如果專利權人在未經充分調查的情況下，向競爭對手或其客戶發出語氣過於強硬的侵權警告信（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Cease and Desist Letter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被告可以反過來向法院起訴專利權人「不當威脅」，要求專利權人賠償其因此遭受的商業損失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高額懲罰性損害賠償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：若原告能證明被告的侵權行為屬於「故意侵權（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Willful Infringement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）」或「惡意抄襲」，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澳洲法院有權依據自由裁量權，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在實際損害金額之外，加判高額的懲罰性附加損害賠償（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Additional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327D7E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ED0C62" w:rsidRDefault="0000519D">
      <w:pPr>
        <w:widowControl/>
        <w:rPr>
          <w:sz w:val="20"/>
          <w:szCs w:val="20"/>
        </w:rPr>
      </w:pPr>
    </w:p>
    <w:sectPr w:rsidR="0000519D" w:rsidRPr="00ED0C62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153F1"/>
    <w:rsid w:val="00021DB5"/>
    <w:rsid w:val="00061066"/>
    <w:rsid w:val="00114651"/>
    <w:rsid w:val="00157317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D1F0A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92979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D0C62"/>
    <w:rsid w:val="00EE1147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7D1F0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7D1F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paustralia.gov.a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BC182-F88B-40B3-9E3B-4214859BA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2026-08-05T00:51:00Z</dcterms:created>
  <dcterms:modified xsi:type="dcterms:W3CDTF">2026-09-04T06:20:00Z</dcterms:modified>
</cp:coreProperties>
</file>