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DF0" w:rsidRPr="00327D7E" w:rsidRDefault="00707DF0" w:rsidP="004B580E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紐西蘭</w:t>
      </w:r>
      <w:r w:rsidR="00536559">
        <w:rPr>
          <w:rFonts w:hint="eastAsia"/>
          <w:sz w:val="20"/>
          <w:szCs w:val="20"/>
        </w:rPr>
        <w:t>專利</w:t>
      </w:r>
    </w:p>
    <w:p w:rsidR="00184F97" w:rsidRPr="00327D7E" w:rsidRDefault="00DB7E6F" w:rsidP="004B580E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IPONZ </w:t>
      </w:r>
      <w:r w:rsidR="004B580E" w:rsidRPr="00327D7E">
        <w:rPr>
          <w:rFonts w:hint="eastAsia"/>
          <w:sz w:val="20"/>
          <w:szCs w:val="20"/>
        </w:rPr>
        <w:t>網址：</w:t>
      </w:r>
      <w:r w:rsidR="00184F97">
        <w:rPr>
          <w:sz w:val="20"/>
          <w:szCs w:val="20"/>
        </w:rPr>
        <w:fldChar w:fldCharType="begin"/>
      </w:r>
      <w:r w:rsidR="00184F97">
        <w:rPr>
          <w:sz w:val="20"/>
          <w:szCs w:val="20"/>
        </w:rPr>
        <w:instrText xml:space="preserve"> HYPERLINK "</w:instrText>
      </w:r>
      <w:r w:rsidR="00184F97" w:rsidRPr="00184F97">
        <w:rPr>
          <w:sz w:val="20"/>
          <w:szCs w:val="20"/>
        </w:rPr>
        <w:instrText>https://www.iponz.govt.nz/</w:instrText>
      </w:r>
      <w:r w:rsidR="00184F97">
        <w:rPr>
          <w:sz w:val="20"/>
          <w:szCs w:val="20"/>
        </w:rPr>
        <w:instrText xml:space="preserve">" </w:instrText>
      </w:r>
      <w:r w:rsidR="00184F97">
        <w:rPr>
          <w:sz w:val="20"/>
          <w:szCs w:val="20"/>
        </w:rPr>
        <w:fldChar w:fldCharType="separate"/>
      </w:r>
      <w:r w:rsidR="00184F97" w:rsidRPr="00A86D66">
        <w:rPr>
          <w:rStyle w:val="a6"/>
          <w:sz w:val="20"/>
          <w:szCs w:val="20"/>
        </w:rPr>
        <w:t>https://www.iponz.govt.nz/</w:t>
      </w:r>
      <w:r w:rsidR="00184F97">
        <w:rPr>
          <w:sz w:val="20"/>
          <w:szCs w:val="20"/>
        </w:rPr>
        <w:fldChar w:fldCharType="end"/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具備新穎性、進步性（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Inventive Step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）與產業利用性的全新技術產品或方法。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紐西蘭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註冊設計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次，每次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5 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應用於產品上，由形狀、配置、圖案或裝飾組成的創新視覺特徵（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不保護純功能性外觀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</w:tbl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707DF0" w:rsidRPr="00707DF0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法律明確排除「電腦程式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軟體本身」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：紐西蘭《專利法》第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條設有極為嚴格的排他條款，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明確規定「電腦程式本身（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Computer Program Per Se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）」不是可專利發明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。軟體若想在紐西蘭獲證，其核心技術貢獻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不能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僅停留在資料處理或商業邏輯，必須證明該軟體與實體硬體結合，並改良了硬體本身的運作方式或解決了外部實體世界的技術問題。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毛利傳統文化審查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Māori Advisory Committee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：這是紐西蘭最獨一無二的特色。如果您的技術發明或工業設計涉及、應用或源自於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毛利人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Māori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）的傳統知識（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Mātauranga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Māori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）或傳統原住民文化表現形式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，申請案會強制移交毛利諮詢委員會審查。若被認定會對毛利文化或價值觀造成冒犯，專利將直接被拒絕授予。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絕對新穎性與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月寬限期（最新修正）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：紐西蘭採取嚴格的絕對新穎性標準。但近年修法後，紐西蘭正式引入了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的新穎性寬限期（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包含「發明人自己（或其前手）主動公開或發表」該技術的行為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，只要在首次公開行為起算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年內向紐西蘭遞交專利完整申請案，新穎性即不受影響。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主動提審時限與答辯期嚴格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：申請人必須在收到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IPONZ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發出的審查通知書（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Examination Notice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（或自申請日起算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年內）主動提出實體審查請求。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一旦收到審查意見書（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Office Action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），申請人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月內（含所有答辯與修正）讓專利達到可核准的狀態（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Acceptance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，否則該案將直接失效，時間管理非常嚴苛。</w:t>
            </w:r>
          </w:p>
          <w:p w:rsidR="004B580E" w:rsidRPr="00327D7E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強制委託澳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紐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雙註冊代理人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：外國申請人在紐西蘭沒有主要營業場所者，必須強制委託具備澳洲與紐西蘭雙重註冊資格的專利代理人（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Trans-Tasman Patent Attorney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IPONZ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流程，且文件必須為英文。</w:t>
            </w: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高等法院集中管轄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：紐西蘭的專利侵權訴訟與專利無效宣告（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Revocation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）反訴，統一由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紐西蘭高等法院（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High Court of New Zealand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審理。其司法體系屬於普通法（判例法）系統，審判程序嚴謹，高度尊重專家證人的技術證詞。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判定原則（目的性解釋原則）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707DF0" w:rsidRPr="00707DF0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紐西蘭法院在技術侵權判定上，嚴格遵循普通法系經典的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「目的性解釋（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Purposive Construction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法官會檢視被告產品雖然更換了部分元件，但從該領域普通技術人員的角度來看，該變更是否屬於「非本質特徵（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Non-essential element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）」。如果被告只是以實質相同的手段替代了非核心元件、且達成了相同的技術效果，仍會被判定構成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不當威脅警告的反制（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Unjustifiable Threats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：與澳洲相同，紐西蘭設有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反濫訴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條款。專利權人若在沒有確鑿證據的情況下，向市場競爭對手或其零售渠道發出不當的侵權警告信（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Threats of infringement proceedings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被告可以直接向法院提起反訴，要求專利權人撤回警告、宣布該威脅無效，並賠償因此造成的全部商業營業損失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無形實施與進口侵權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：紐西蘭法律規定的侵權實施行為，除了在當地製造、銷售、使用之外，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將未經授權的專利產品「進口（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Importing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）」至紐西蘭境內，或是在紐西蘭境內「持有（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Keeping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）」該產品以供商業銷售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，皆直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接構成侵權行為。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核准後撤銷程序（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Revocation by Commissioner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：除了在法院打無效官司外，利害關係人也可以在專利核准公告後的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任何時間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，以行政成本較低的方式，直接向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IPONZ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註冊官申請撤銷（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Revocation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）該瑕疵專利，提供第三方極佳的防禦管道。</w:t>
            </w:r>
          </w:p>
          <w:p w:rsidR="004B580E" w:rsidRPr="00327D7E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157317"/>
    <w:rsid w:val="00184F97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703A18"/>
    <w:rsid w:val="00707DF0"/>
    <w:rsid w:val="007217E7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02A22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E47AD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B02A2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B02A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844582-37B9-40BD-B16B-53EEB5641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2026-08-05T00:52:00Z</dcterms:created>
  <dcterms:modified xsi:type="dcterms:W3CDTF">2026-09-04T03:22:00Z</dcterms:modified>
</cp:coreProperties>
</file>