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0831" w:rsidRPr="00327D7E" w:rsidRDefault="003934F9" w:rsidP="0069358F">
      <w:pPr>
        <w:jc w:val="center"/>
        <w:rPr>
          <w:sz w:val="20"/>
          <w:szCs w:val="20"/>
        </w:rPr>
      </w:pPr>
      <w:r w:rsidRPr="00327D7E">
        <w:rPr>
          <w:rFonts w:hint="eastAsia"/>
          <w:sz w:val="20"/>
          <w:szCs w:val="20"/>
        </w:rPr>
        <w:t>英</w:t>
      </w:r>
      <w:r w:rsidR="00800831" w:rsidRPr="00327D7E">
        <w:rPr>
          <w:rFonts w:hint="eastAsia"/>
          <w:sz w:val="20"/>
          <w:szCs w:val="20"/>
        </w:rPr>
        <w:t>國</w:t>
      </w:r>
      <w:r w:rsidR="00536559">
        <w:rPr>
          <w:rFonts w:hint="eastAsia"/>
          <w:sz w:val="20"/>
          <w:szCs w:val="20"/>
        </w:rPr>
        <w:t>專利</w:t>
      </w:r>
    </w:p>
    <w:p w:rsidR="000C41C0" w:rsidRPr="00327D7E" w:rsidRDefault="000C41C0" w:rsidP="00D65FB0">
      <w:pPr>
        <w:jc w:val="center"/>
        <w:rPr>
          <w:sz w:val="20"/>
          <w:szCs w:val="20"/>
        </w:rPr>
      </w:pPr>
      <w:r>
        <w:rPr>
          <w:rFonts w:hint="eastAsia"/>
          <w:sz w:val="20"/>
          <w:szCs w:val="20"/>
        </w:rPr>
        <w:t>UKIPO</w:t>
      </w:r>
      <w:r w:rsidR="00D65FB0" w:rsidRPr="00327D7E">
        <w:rPr>
          <w:rFonts w:hint="eastAsia"/>
          <w:sz w:val="20"/>
          <w:szCs w:val="20"/>
        </w:rPr>
        <w:t>網址：</w:t>
      </w:r>
      <w:hyperlink r:id="rId7" w:history="1">
        <w:r w:rsidR="00B76FB6" w:rsidRPr="000C6A67">
          <w:rPr>
            <w:rStyle w:val="a6"/>
          </w:rPr>
          <w:t>https://www.gov.uk/government/organisations/intellectual-property-office</w:t>
        </w:r>
      </w:hyperlink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6"/>
        <w:gridCol w:w="10182"/>
      </w:tblGrid>
      <w:tr w:rsidR="00800831" w:rsidRPr="00327D7E" w:rsidTr="00861D0B">
        <w:tc>
          <w:tcPr>
            <w:tcW w:w="416" w:type="dxa"/>
            <w:vAlign w:val="center"/>
          </w:tcPr>
          <w:p w:rsidR="00800831" w:rsidRPr="00327D7E" w:rsidRDefault="00800831" w:rsidP="0069358F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專利種類</w:t>
            </w:r>
          </w:p>
        </w:tc>
        <w:tc>
          <w:tcPr>
            <w:tcW w:w="101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10"/>
              <w:gridCol w:w="3311"/>
              <w:gridCol w:w="3311"/>
            </w:tblGrid>
            <w:tr w:rsidR="003934F9" w:rsidRPr="00327D7E" w:rsidTr="00861D0B">
              <w:trPr>
                <w:tblCellSpacing w:w="15" w:type="dxa"/>
              </w:trPr>
              <w:tc>
                <w:tcPr>
                  <w:tcW w:w="3265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934F9" w:rsidRPr="00327D7E" w:rsidRDefault="003934F9" w:rsidP="003934F9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比較項目</w:t>
                  </w:r>
                </w:p>
              </w:tc>
              <w:tc>
                <w:tcPr>
                  <w:tcW w:w="328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934F9" w:rsidRPr="00327D7E" w:rsidRDefault="003934F9" w:rsidP="003934F9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發明專利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 (Patents)</w:t>
                  </w:r>
                </w:p>
              </w:tc>
              <w:tc>
                <w:tcPr>
                  <w:tcW w:w="326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934F9" w:rsidRPr="00327D7E" w:rsidRDefault="003934F9" w:rsidP="003934F9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設計專利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 (Registered Designs)</w:t>
                  </w:r>
                </w:p>
              </w:tc>
            </w:tr>
            <w:tr w:rsidR="003934F9" w:rsidRPr="00327D7E" w:rsidTr="00861D0B">
              <w:trPr>
                <w:tblCellSpacing w:w="15" w:type="dxa"/>
              </w:trPr>
              <w:tc>
                <w:tcPr>
                  <w:tcW w:w="3265" w:type="dxa"/>
                  <w:tcBorders>
                    <w:bottom w:val="single" w:sz="6" w:space="0" w:color="DCDFE5"/>
                  </w:tcBorders>
                  <w:vAlign w:val="center"/>
                </w:tcPr>
                <w:p w:rsidR="003934F9" w:rsidRPr="00327D7E" w:rsidRDefault="003934F9" w:rsidP="003934F9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b/>
                      <w:sz w:val="20"/>
                      <w:szCs w:val="20"/>
                    </w:rPr>
                    <w:t>保護對象</w:t>
                  </w:r>
                </w:p>
              </w:tc>
              <w:tc>
                <w:tcPr>
                  <w:tcW w:w="3281" w:type="dxa"/>
                  <w:tcBorders>
                    <w:bottom w:val="single" w:sz="6" w:space="0" w:color="DCDFE5"/>
                  </w:tcBorders>
                  <w:vAlign w:val="center"/>
                </w:tcPr>
                <w:p w:rsidR="003934F9" w:rsidRPr="00327D7E" w:rsidRDefault="003934F9" w:rsidP="003934F9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sz w:val="20"/>
                      <w:szCs w:val="20"/>
                    </w:rPr>
                    <w:t>技術方案、方法、製程、產品結構</w:t>
                  </w:r>
                </w:p>
              </w:tc>
              <w:tc>
                <w:tcPr>
                  <w:tcW w:w="3266" w:type="dxa"/>
                  <w:tcBorders>
                    <w:bottom w:val="single" w:sz="6" w:space="0" w:color="DCDFE5"/>
                  </w:tcBorders>
                  <w:vAlign w:val="center"/>
                </w:tcPr>
                <w:p w:rsidR="003934F9" w:rsidRPr="00327D7E" w:rsidRDefault="003934F9" w:rsidP="003934F9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sz w:val="20"/>
                      <w:szCs w:val="20"/>
                    </w:rPr>
                    <w:t>產品形狀、圖案、線條等外觀視覺</w:t>
                  </w:r>
                </w:p>
              </w:tc>
            </w:tr>
            <w:tr w:rsidR="003934F9" w:rsidRPr="00327D7E" w:rsidTr="00861D0B">
              <w:trPr>
                <w:tblCellSpacing w:w="15" w:type="dxa"/>
              </w:trPr>
              <w:tc>
                <w:tcPr>
                  <w:tcW w:w="3265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934F9" w:rsidRPr="00327D7E" w:rsidRDefault="003934F9" w:rsidP="00546396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審查方式</w:t>
                  </w:r>
                </w:p>
              </w:tc>
              <w:tc>
                <w:tcPr>
                  <w:tcW w:w="328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934F9" w:rsidRPr="00327D7E" w:rsidRDefault="003934F9" w:rsidP="00546396">
                  <w:pPr>
                    <w:widowControl/>
                    <w:jc w:val="center"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實體審查（早期公開）</w:t>
                  </w:r>
                </w:p>
              </w:tc>
              <w:tc>
                <w:tcPr>
                  <w:tcW w:w="326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934F9" w:rsidRPr="00327D7E" w:rsidRDefault="003934F9" w:rsidP="00546396">
                  <w:pPr>
                    <w:widowControl/>
                    <w:jc w:val="center"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形式審查（註冊登記制）</w:t>
                  </w:r>
                </w:p>
              </w:tc>
            </w:tr>
            <w:tr w:rsidR="003934F9" w:rsidRPr="00327D7E" w:rsidTr="00861D0B">
              <w:trPr>
                <w:tblCellSpacing w:w="15" w:type="dxa"/>
              </w:trPr>
              <w:tc>
                <w:tcPr>
                  <w:tcW w:w="3265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934F9" w:rsidRPr="00327D7E" w:rsidRDefault="003934F9" w:rsidP="00546396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保護期限</w:t>
                  </w:r>
                </w:p>
              </w:tc>
              <w:tc>
                <w:tcPr>
                  <w:tcW w:w="328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934F9" w:rsidRPr="00327D7E" w:rsidRDefault="003934F9" w:rsidP="00546396">
                  <w:pPr>
                    <w:widowControl/>
                    <w:jc w:val="center"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最長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20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年</w:t>
                  </w:r>
                </w:p>
              </w:tc>
              <w:tc>
                <w:tcPr>
                  <w:tcW w:w="326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934F9" w:rsidRPr="00327D7E" w:rsidRDefault="003934F9" w:rsidP="00546396">
                  <w:pPr>
                    <w:widowControl/>
                    <w:jc w:val="center"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最長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25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年</w:t>
                  </w:r>
                </w:p>
              </w:tc>
            </w:tr>
            <w:tr w:rsidR="003934F9" w:rsidRPr="00327D7E" w:rsidTr="00861D0B">
              <w:trPr>
                <w:tblCellSpacing w:w="15" w:type="dxa"/>
              </w:trPr>
              <w:tc>
                <w:tcPr>
                  <w:tcW w:w="3265" w:type="dxa"/>
                  <w:tcBorders>
                    <w:bottom w:val="nil"/>
                  </w:tcBorders>
                  <w:vAlign w:val="center"/>
                  <w:hideMark/>
                </w:tcPr>
                <w:p w:rsidR="003934F9" w:rsidRPr="00327D7E" w:rsidRDefault="003934F9" w:rsidP="00546396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審查時間</w:t>
                  </w:r>
                </w:p>
              </w:tc>
              <w:tc>
                <w:tcPr>
                  <w:tcW w:w="3281" w:type="dxa"/>
                  <w:tcBorders>
                    <w:bottom w:val="nil"/>
                  </w:tcBorders>
                  <w:vAlign w:val="center"/>
                  <w:hideMark/>
                </w:tcPr>
                <w:p w:rsidR="003934F9" w:rsidRPr="00327D7E" w:rsidRDefault="003934F9" w:rsidP="00546396">
                  <w:pPr>
                    <w:widowControl/>
                    <w:jc w:val="center"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約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2 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至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3 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年</w:t>
                  </w:r>
                </w:p>
              </w:tc>
              <w:tc>
                <w:tcPr>
                  <w:tcW w:w="3266" w:type="dxa"/>
                  <w:tcBorders>
                    <w:bottom w:val="nil"/>
                  </w:tcBorders>
                  <w:vAlign w:val="center"/>
                  <w:hideMark/>
                </w:tcPr>
                <w:p w:rsidR="003934F9" w:rsidRPr="00327D7E" w:rsidRDefault="003934F9" w:rsidP="00546396">
                  <w:pPr>
                    <w:widowControl/>
                    <w:jc w:val="center"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約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6 </w:t>
                  </w:r>
                  <w:proofErr w:type="gramStart"/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個</w:t>
                  </w:r>
                  <w:proofErr w:type="gramEnd"/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月以內</w:t>
                  </w:r>
                </w:p>
              </w:tc>
            </w:tr>
          </w:tbl>
          <w:p w:rsidR="00800831" w:rsidRPr="00327D7E" w:rsidRDefault="00800831" w:rsidP="0069358F">
            <w:pPr>
              <w:jc w:val="center"/>
              <w:rPr>
                <w:sz w:val="20"/>
                <w:szCs w:val="20"/>
              </w:rPr>
            </w:pPr>
          </w:p>
        </w:tc>
      </w:tr>
      <w:tr w:rsidR="00800831" w:rsidRPr="00327D7E" w:rsidTr="00861D0B">
        <w:tc>
          <w:tcPr>
            <w:tcW w:w="416" w:type="dxa"/>
            <w:vAlign w:val="center"/>
          </w:tcPr>
          <w:p w:rsidR="00800831" w:rsidRPr="00327D7E" w:rsidRDefault="00800831" w:rsidP="0069358F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申請要點</w:t>
            </w:r>
          </w:p>
        </w:tc>
        <w:tc>
          <w:tcPr>
            <w:tcW w:w="10182" w:type="dxa"/>
          </w:tcPr>
          <w:p w:rsidR="00B1669C" w:rsidRPr="00327D7E" w:rsidRDefault="00B1669C" w:rsidP="00B1669C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發明必須同時符合以下三項法定要件，才能被授予專利權：</w:t>
            </w:r>
          </w:p>
          <w:p w:rsidR="00E143F6" w:rsidRPr="00327D7E" w:rsidRDefault="00B312BB" w:rsidP="00B67052">
            <w:pPr>
              <w:widowControl/>
              <w:numPr>
                <w:ilvl w:val="0"/>
                <w:numId w:val="16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="00B1669C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新穎性</w:t>
            </w:r>
            <w:r w:rsidR="00B1669C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(Novelty)</w:t>
            </w:r>
            <w:r w:rsidR="00B1669C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：該發明在申請日（或優先權日）之前，</w:t>
            </w:r>
            <w:r w:rsidR="00B1669C"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>不得公開發表或在世界上任何地方被大眾所知</w:t>
            </w:r>
            <w:r w:rsidR="00B1669C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。即使是發明人自己的演講、產品展示或網站公開，都會破壞新穎性。</w:t>
            </w:r>
          </w:p>
          <w:p w:rsidR="00B1669C" w:rsidRPr="00327D7E" w:rsidRDefault="00B312BB" w:rsidP="00B67052">
            <w:pPr>
              <w:widowControl/>
              <w:numPr>
                <w:ilvl w:val="0"/>
                <w:numId w:val="16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="00B1669C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創造性</w:t>
            </w:r>
            <w:r w:rsidR="00B1669C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(Inventive Step)</w:t>
            </w:r>
            <w:r w:rsidR="00B1669C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：對於該技術領域中具有通常知識的專業人士而言，該發明</w:t>
            </w:r>
            <w:r w:rsidR="00B1669C"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>不能是顯而易見的</w:t>
            </w:r>
            <w:r w:rsidR="00B1669C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改進。它必須包含某種技術突破或非預期的技術效果。</w:t>
            </w:r>
          </w:p>
          <w:p w:rsidR="00B1669C" w:rsidRPr="00327D7E" w:rsidRDefault="000715F0" w:rsidP="00B67052">
            <w:pPr>
              <w:widowControl/>
              <w:numPr>
                <w:ilvl w:val="0"/>
                <w:numId w:val="16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="00B1669C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產業利用性</w:t>
            </w:r>
            <w:r w:rsidR="00B1669C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(Industrial Application)</w:t>
            </w:r>
            <w:r w:rsidR="00B1669C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：該發明必須</w:t>
            </w:r>
            <w:r w:rsidR="00B1669C"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>能夠在某種產業中被製造或使用</w:t>
            </w:r>
            <w:r w:rsidR="00B1669C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（包含農業）。</w:t>
            </w:r>
          </w:p>
          <w:p w:rsidR="00B1669C" w:rsidRPr="00327D7E" w:rsidRDefault="00B1669C" w:rsidP="00B67052">
            <w:pPr>
              <w:widowControl/>
              <w:numPr>
                <w:ilvl w:val="0"/>
                <w:numId w:val="16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法定排除對象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：純科學理論、數學方法、商業方法、純電腦軟體（未具備技術貢獻者）以及單純的外觀美感創作，皆無法申請發明專利。</w:t>
            </w:r>
          </w:p>
          <w:p w:rsidR="00B1669C" w:rsidRPr="00327D7E" w:rsidRDefault="00B1669C" w:rsidP="00B1669C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設計專利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br/>
            </w:r>
            <w:r w:rsidR="00B312BB"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="00B312BB"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核心要件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：必須具備</w:t>
            </w:r>
            <w:r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>新穎性</w:t>
            </w:r>
            <w:r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 xml:space="preserve"> (Newness)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與</w:t>
            </w:r>
            <w:r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>獨特性</w:t>
            </w:r>
            <w:r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 xml:space="preserve"> (Individual Character)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  <w:p w:rsidR="00800831" w:rsidRPr="00327D7E" w:rsidRDefault="00B312BB" w:rsidP="00B67052">
            <w:pPr>
              <w:widowControl/>
              <w:numPr>
                <w:ilvl w:val="0"/>
                <w:numId w:val="17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="00B1669C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審查制度</w:t>
            </w:r>
            <w:r w:rsidR="00B1669C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  <w:proofErr w:type="gramStart"/>
            <w:r w:rsidR="00B1669C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採</w:t>
            </w:r>
            <w:proofErr w:type="gramEnd"/>
            <w:r w:rsidR="00B1669C"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>註冊制（不進行實體審查）</w:t>
            </w:r>
            <w:r w:rsidR="00B1669C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，只要文件格式</w:t>
            </w:r>
            <w:proofErr w:type="gramStart"/>
            <w:r w:rsidR="00B1669C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與圖資符合</w:t>
            </w:r>
            <w:proofErr w:type="gramEnd"/>
            <w:r w:rsidR="00B1669C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規範即可快速獲准註冊。</w:t>
            </w:r>
          </w:p>
        </w:tc>
      </w:tr>
      <w:tr w:rsidR="00800831" w:rsidRPr="00327D7E" w:rsidTr="00861D0B">
        <w:tc>
          <w:tcPr>
            <w:tcW w:w="416" w:type="dxa"/>
            <w:vAlign w:val="center"/>
          </w:tcPr>
          <w:p w:rsidR="00800831" w:rsidRPr="00327D7E" w:rsidRDefault="00800831" w:rsidP="0069358F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專利爭議侵權</w:t>
            </w:r>
          </w:p>
        </w:tc>
        <w:tc>
          <w:tcPr>
            <w:tcW w:w="10182" w:type="dxa"/>
          </w:tcPr>
          <w:p w:rsidR="00546396" w:rsidRPr="00327D7E" w:rsidRDefault="00546396" w:rsidP="00546396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英國知識產權局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(UKIPO)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並沒有傳統意義上的「授權後異議」程序。欲挑戰英國專利，可依專利狀態選擇「授權前第三方意見」或「授權後撤銷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/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意見請求」。這些途徑比直接訴諸法院更經濟實惠。</w:t>
            </w:r>
          </w:p>
          <w:p w:rsidR="00546396" w:rsidRPr="00327D7E" w:rsidRDefault="00546396" w:rsidP="00B67052">
            <w:pPr>
              <w:widowControl/>
              <w:numPr>
                <w:ilvl w:val="0"/>
                <w:numId w:val="18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授權前：第三方意見</w:t>
            </w:r>
          </w:p>
          <w:p w:rsidR="00546396" w:rsidRPr="00327D7E" w:rsidRDefault="00B312BB" w:rsidP="00B67052">
            <w:pPr>
              <w:widowControl/>
              <w:numPr>
                <w:ilvl w:val="0"/>
                <w:numId w:val="19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="00546396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申請時機</w:t>
            </w:r>
            <w:r w:rsidR="00546396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：在專利申請案公開後至核准前提出。</w:t>
            </w:r>
          </w:p>
          <w:p w:rsidR="00546396" w:rsidRPr="00327D7E" w:rsidRDefault="00B312BB" w:rsidP="00B67052">
            <w:pPr>
              <w:widowControl/>
              <w:numPr>
                <w:ilvl w:val="0"/>
                <w:numId w:val="19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="00546396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內容</w:t>
            </w:r>
            <w:r w:rsidR="00546396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：以書面形式陳述專利不具備可專利性（如缺乏新穎性或進步性）的理由，並可附上引證文件。</w:t>
            </w:r>
          </w:p>
          <w:p w:rsidR="00546396" w:rsidRPr="00327D7E" w:rsidRDefault="00546396" w:rsidP="00B67052">
            <w:pPr>
              <w:widowControl/>
              <w:numPr>
                <w:ilvl w:val="0"/>
                <w:numId w:val="20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授權後：專利撤銷</w:t>
            </w:r>
          </w:p>
          <w:p w:rsidR="00546396" w:rsidRPr="00327D7E" w:rsidRDefault="00B312BB" w:rsidP="00B67052">
            <w:pPr>
              <w:widowControl/>
              <w:numPr>
                <w:ilvl w:val="0"/>
                <w:numId w:val="21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="00546396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法定依據</w:t>
            </w:r>
            <w:r w:rsidR="00546396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：依據《</w:t>
            </w:r>
            <w:r w:rsidR="00546396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1977 </w:t>
            </w:r>
            <w:r w:rsidR="00546396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年英國專利法》第</w:t>
            </w:r>
            <w:r w:rsidR="00546396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72 </w:t>
            </w:r>
            <w:r w:rsidR="00546396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條，任何人皆可向</w:t>
            </w:r>
            <w:r w:rsidR="00546396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UKIPO </w:t>
            </w:r>
            <w:r w:rsidR="00546396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提出專利撤銷申請。</w:t>
            </w:r>
          </w:p>
          <w:p w:rsidR="00800831" w:rsidRPr="00327D7E" w:rsidRDefault="00B312BB" w:rsidP="00B67052">
            <w:pPr>
              <w:widowControl/>
              <w:numPr>
                <w:ilvl w:val="0"/>
                <w:numId w:val="21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="00546396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法定理由</w:t>
            </w:r>
            <w:r w:rsidR="00546396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：包含不具可專利性（無新穎性、進步性等）、專利範圍超出原始申請內容、揭露不充分</w:t>
            </w:r>
            <w:r w:rsidR="00546396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(insufficiency) </w:t>
            </w:r>
            <w:r w:rsidR="00546396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或不具備權利等。</w:t>
            </w:r>
          </w:p>
          <w:p w:rsidR="00546396" w:rsidRPr="00327D7E" w:rsidRDefault="00546396" w:rsidP="00546396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根據英國專利法，侵權行為主要分為兩大類：</w:t>
            </w:r>
          </w:p>
          <w:p w:rsidR="00546396" w:rsidRPr="00327D7E" w:rsidRDefault="00B312BB" w:rsidP="00B67052">
            <w:pPr>
              <w:widowControl/>
              <w:numPr>
                <w:ilvl w:val="0"/>
                <w:numId w:val="22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="00546396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直接侵權</w:t>
            </w:r>
            <w:r w:rsidR="00546396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：未經授權在英國境內製造、處分（如販售）、使用、進口或保管該專利產品。若是方法專利，則指在英國境內使用該方法，或使用、販售由該方法直接製得的產品。</w:t>
            </w:r>
          </w:p>
          <w:p w:rsidR="00546396" w:rsidRPr="00327D7E" w:rsidRDefault="00B312BB" w:rsidP="00B67052">
            <w:pPr>
              <w:widowControl/>
              <w:numPr>
                <w:ilvl w:val="0"/>
                <w:numId w:val="22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="00546396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間接侵權</w:t>
            </w:r>
            <w:r w:rsidR="00546396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：提供任何與該發明核心要素相關的「手段」（如零件、特定原料），且明知（或在客觀情況下顯而易見）該手段是用於在英國境內實施該發明。</w:t>
            </w:r>
          </w:p>
          <w:p w:rsidR="00546396" w:rsidRPr="00327D7E" w:rsidRDefault="00546396" w:rsidP="00546396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侵權比對原則（等同原則）</w:t>
            </w:r>
          </w:p>
          <w:p w:rsidR="00546396" w:rsidRPr="00327D7E" w:rsidRDefault="00335FF7" w:rsidP="00546396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新細明體" w:cs="Arial" w:hint="eastAsia"/>
                <w:b/>
                <w:bCs/>
                <w:kern w:val="0"/>
                <w:sz w:val="20"/>
                <w:szCs w:val="20"/>
              </w:rPr>
              <w:t xml:space="preserve">1. </w:t>
            </w:r>
            <w:proofErr w:type="gramStart"/>
            <w:r w:rsidR="00546396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文義侵權</w:t>
            </w:r>
            <w:proofErr w:type="gramEnd"/>
            <w:r w:rsidR="00546396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：檢視被告產品是否落入專利權利要求（</w:t>
            </w:r>
            <w:r w:rsidR="00546396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Claims</w:t>
            </w:r>
            <w:r w:rsidR="00546396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）的字面文義範圍。</w:t>
            </w:r>
          </w:p>
          <w:p w:rsidR="00546396" w:rsidRPr="00327D7E" w:rsidRDefault="00335FF7" w:rsidP="00B67052">
            <w:pPr>
              <w:widowControl/>
              <w:numPr>
                <w:ilvl w:val="0"/>
                <w:numId w:val="23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b/>
                <w:bCs/>
                <w:kern w:val="0"/>
                <w:sz w:val="20"/>
                <w:szCs w:val="20"/>
              </w:rPr>
              <w:t xml:space="preserve">2. </w:t>
            </w:r>
            <w:r w:rsidR="00546396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等同侵權</w:t>
            </w:r>
            <w:r w:rsidR="00546396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：若無字面</w:t>
            </w:r>
            <w:proofErr w:type="gramStart"/>
            <w:r w:rsidR="00546396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文義侵權</w:t>
            </w:r>
            <w:proofErr w:type="gramEnd"/>
            <w:r w:rsidR="00546396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，則評估被告產品是否以本質上相同的方式，達到與專利相同的效果。若該變更是顯而易見的，且公眾不會認為該專利嚴格限制在字面範圍內，仍會被判定為侵權。</w:t>
            </w:r>
          </w:p>
        </w:tc>
      </w:tr>
    </w:tbl>
    <w:p w:rsidR="00800831" w:rsidRPr="00014BEE" w:rsidRDefault="00800831" w:rsidP="0069358F">
      <w:pPr>
        <w:widowControl/>
        <w:rPr>
          <w:sz w:val="20"/>
          <w:szCs w:val="20"/>
        </w:rPr>
      </w:pPr>
    </w:p>
    <w:sectPr w:rsidR="00800831" w:rsidRPr="00014BEE" w:rsidSect="002B241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71825"/>
    <w:multiLevelType w:val="multilevel"/>
    <w:tmpl w:val="CFB8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42204"/>
    <w:multiLevelType w:val="multilevel"/>
    <w:tmpl w:val="7978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2A0D8B"/>
    <w:multiLevelType w:val="multilevel"/>
    <w:tmpl w:val="66F2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4E7D4E"/>
    <w:multiLevelType w:val="multilevel"/>
    <w:tmpl w:val="EACC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DD20A1"/>
    <w:multiLevelType w:val="multilevel"/>
    <w:tmpl w:val="D454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4205A6"/>
    <w:multiLevelType w:val="multilevel"/>
    <w:tmpl w:val="E660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CE7B6F"/>
    <w:multiLevelType w:val="multilevel"/>
    <w:tmpl w:val="391A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A35C8A"/>
    <w:multiLevelType w:val="multilevel"/>
    <w:tmpl w:val="C176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E26F2B"/>
    <w:multiLevelType w:val="multilevel"/>
    <w:tmpl w:val="4CFCC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8A5424"/>
    <w:multiLevelType w:val="multilevel"/>
    <w:tmpl w:val="4480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4A7591"/>
    <w:multiLevelType w:val="multilevel"/>
    <w:tmpl w:val="0C22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ED130E"/>
    <w:multiLevelType w:val="multilevel"/>
    <w:tmpl w:val="603C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8B42EE"/>
    <w:multiLevelType w:val="multilevel"/>
    <w:tmpl w:val="B40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EC47AA"/>
    <w:multiLevelType w:val="multilevel"/>
    <w:tmpl w:val="F04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416C7D"/>
    <w:multiLevelType w:val="multilevel"/>
    <w:tmpl w:val="7344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361767"/>
    <w:multiLevelType w:val="multilevel"/>
    <w:tmpl w:val="E61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0A603E"/>
    <w:multiLevelType w:val="multilevel"/>
    <w:tmpl w:val="C4F2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43061D"/>
    <w:multiLevelType w:val="multilevel"/>
    <w:tmpl w:val="5DE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773A08"/>
    <w:multiLevelType w:val="multilevel"/>
    <w:tmpl w:val="FC8A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880F7B"/>
    <w:multiLevelType w:val="multilevel"/>
    <w:tmpl w:val="10AE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5C6478"/>
    <w:multiLevelType w:val="multilevel"/>
    <w:tmpl w:val="56C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C21A57"/>
    <w:multiLevelType w:val="multilevel"/>
    <w:tmpl w:val="703A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5B183E"/>
    <w:multiLevelType w:val="multilevel"/>
    <w:tmpl w:val="520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240B92"/>
    <w:multiLevelType w:val="multilevel"/>
    <w:tmpl w:val="2792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B0304A6"/>
    <w:multiLevelType w:val="multilevel"/>
    <w:tmpl w:val="E7C4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06B60D2"/>
    <w:multiLevelType w:val="multilevel"/>
    <w:tmpl w:val="5936D8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4F4622B"/>
    <w:multiLevelType w:val="multilevel"/>
    <w:tmpl w:val="B3B8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0A1B6C"/>
    <w:multiLevelType w:val="multilevel"/>
    <w:tmpl w:val="7E9E191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20128F"/>
    <w:multiLevelType w:val="multilevel"/>
    <w:tmpl w:val="579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632E3B"/>
    <w:multiLevelType w:val="multilevel"/>
    <w:tmpl w:val="98B6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BA64B85"/>
    <w:multiLevelType w:val="multilevel"/>
    <w:tmpl w:val="D99CEB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BCC6494"/>
    <w:multiLevelType w:val="multilevel"/>
    <w:tmpl w:val="94F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E74F33"/>
    <w:multiLevelType w:val="multilevel"/>
    <w:tmpl w:val="487651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F9772EE"/>
    <w:multiLevelType w:val="multilevel"/>
    <w:tmpl w:val="E1A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3A490D"/>
    <w:multiLevelType w:val="multilevel"/>
    <w:tmpl w:val="8F6A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08B7C6C"/>
    <w:multiLevelType w:val="multilevel"/>
    <w:tmpl w:val="FCE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6C02A7"/>
    <w:multiLevelType w:val="multilevel"/>
    <w:tmpl w:val="D97C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4C704CD"/>
    <w:multiLevelType w:val="multilevel"/>
    <w:tmpl w:val="A6FC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322985"/>
    <w:multiLevelType w:val="multilevel"/>
    <w:tmpl w:val="2C92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C75A7A"/>
    <w:multiLevelType w:val="multilevel"/>
    <w:tmpl w:val="7F54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9801B25"/>
    <w:multiLevelType w:val="multilevel"/>
    <w:tmpl w:val="01B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AB32F3D"/>
    <w:multiLevelType w:val="multilevel"/>
    <w:tmpl w:val="CFF8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B0322E6"/>
    <w:multiLevelType w:val="multilevel"/>
    <w:tmpl w:val="12DE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C2B6BC2"/>
    <w:multiLevelType w:val="multilevel"/>
    <w:tmpl w:val="6F84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E091374"/>
    <w:multiLevelType w:val="multilevel"/>
    <w:tmpl w:val="DCB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1D53EBA"/>
    <w:multiLevelType w:val="multilevel"/>
    <w:tmpl w:val="4B72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CB165E1"/>
    <w:multiLevelType w:val="multilevel"/>
    <w:tmpl w:val="79E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EDB6807"/>
    <w:multiLevelType w:val="multilevel"/>
    <w:tmpl w:val="2054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F77415D"/>
    <w:multiLevelType w:val="multilevel"/>
    <w:tmpl w:val="79EA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33"/>
  </w:num>
  <w:num w:numId="3">
    <w:abstractNumId w:val="8"/>
  </w:num>
  <w:num w:numId="4">
    <w:abstractNumId w:val="21"/>
  </w:num>
  <w:num w:numId="5">
    <w:abstractNumId w:val="45"/>
  </w:num>
  <w:num w:numId="6">
    <w:abstractNumId w:val="39"/>
  </w:num>
  <w:num w:numId="7">
    <w:abstractNumId w:val="11"/>
  </w:num>
  <w:num w:numId="8">
    <w:abstractNumId w:val="0"/>
  </w:num>
  <w:num w:numId="9">
    <w:abstractNumId w:val="25"/>
  </w:num>
  <w:num w:numId="10">
    <w:abstractNumId w:val="41"/>
  </w:num>
  <w:num w:numId="11">
    <w:abstractNumId w:val="22"/>
  </w:num>
  <w:num w:numId="12">
    <w:abstractNumId w:val="6"/>
  </w:num>
  <w:num w:numId="13">
    <w:abstractNumId w:val="14"/>
  </w:num>
  <w:num w:numId="14">
    <w:abstractNumId w:val="32"/>
  </w:num>
  <w:num w:numId="15">
    <w:abstractNumId w:val="26"/>
  </w:num>
  <w:num w:numId="16">
    <w:abstractNumId w:val="27"/>
  </w:num>
  <w:num w:numId="17">
    <w:abstractNumId w:val="10"/>
  </w:num>
  <w:num w:numId="18">
    <w:abstractNumId w:val="23"/>
  </w:num>
  <w:num w:numId="19">
    <w:abstractNumId w:val="3"/>
  </w:num>
  <w:num w:numId="20">
    <w:abstractNumId w:val="30"/>
  </w:num>
  <w:num w:numId="21">
    <w:abstractNumId w:val="20"/>
  </w:num>
  <w:num w:numId="22">
    <w:abstractNumId w:val="28"/>
  </w:num>
  <w:num w:numId="23">
    <w:abstractNumId w:val="24"/>
  </w:num>
  <w:num w:numId="24">
    <w:abstractNumId w:val="2"/>
  </w:num>
  <w:num w:numId="25">
    <w:abstractNumId w:val="40"/>
  </w:num>
  <w:num w:numId="26">
    <w:abstractNumId w:val="9"/>
  </w:num>
  <w:num w:numId="27">
    <w:abstractNumId w:val="35"/>
  </w:num>
  <w:num w:numId="28">
    <w:abstractNumId w:val="13"/>
  </w:num>
  <w:num w:numId="29">
    <w:abstractNumId w:val="34"/>
  </w:num>
  <w:num w:numId="30">
    <w:abstractNumId w:val="7"/>
  </w:num>
  <w:num w:numId="31">
    <w:abstractNumId w:val="18"/>
  </w:num>
  <w:num w:numId="32">
    <w:abstractNumId w:val="19"/>
  </w:num>
  <w:num w:numId="33">
    <w:abstractNumId w:val="12"/>
  </w:num>
  <w:num w:numId="34">
    <w:abstractNumId w:val="31"/>
  </w:num>
  <w:num w:numId="35">
    <w:abstractNumId w:val="4"/>
  </w:num>
  <w:num w:numId="36">
    <w:abstractNumId w:val="48"/>
  </w:num>
  <w:num w:numId="37">
    <w:abstractNumId w:val="44"/>
  </w:num>
  <w:num w:numId="38">
    <w:abstractNumId w:val="17"/>
  </w:num>
  <w:num w:numId="39">
    <w:abstractNumId w:val="29"/>
  </w:num>
  <w:num w:numId="40">
    <w:abstractNumId w:val="42"/>
  </w:num>
  <w:num w:numId="41">
    <w:abstractNumId w:val="5"/>
  </w:num>
  <w:num w:numId="42">
    <w:abstractNumId w:val="16"/>
  </w:num>
  <w:num w:numId="43">
    <w:abstractNumId w:val="43"/>
  </w:num>
  <w:num w:numId="44">
    <w:abstractNumId w:val="15"/>
  </w:num>
  <w:num w:numId="45">
    <w:abstractNumId w:val="47"/>
  </w:num>
  <w:num w:numId="46">
    <w:abstractNumId w:val="38"/>
  </w:num>
  <w:num w:numId="47">
    <w:abstractNumId w:val="37"/>
  </w:num>
  <w:num w:numId="48">
    <w:abstractNumId w:val="1"/>
  </w:num>
  <w:num w:numId="49">
    <w:abstractNumId w:val="36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418"/>
    <w:rsid w:val="000132D8"/>
    <w:rsid w:val="00014BEE"/>
    <w:rsid w:val="00061066"/>
    <w:rsid w:val="000715F0"/>
    <w:rsid w:val="000C41C0"/>
    <w:rsid w:val="00114651"/>
    <w:rsid w:val="00207493"/>
    <w:rsid w:val="00221986"/>
    <w:rsid w:val="002268FE"/>
    <w:rsid w:val="002614B9"/>
    <w:rsid w:val="00281ED7"/>
    <w:rsid w:val="002B2418"/>
    <w:rsid w:val="00304F0E"/>
    <w:rsid w:val="00311A04"/>
    <w:rsid w:val="00326595"/>
    <w:rsid w:val="00327D7E"/>
    <w:rsid w:val="00335FF7"/>
    <w:rsid w:val="00351403"/>
    <w:rsid w:val="0038473A"/>
    <w:rsid w:val="003934F9"/>
    <w:rsid w:val="003A72A6"/>
    <w:rsid w:val="003D135A"/>
    <w:rsid w:val="00405226"/>
    <w:rsid w:val="00467E37"/>
    <w:rsid w:val="0047427D"/>
    <w:rsid w:val="004B580E"/>
    <w:rsid w:val="00520620"/>
    <w:rsid w:val="00536559"/>
    <w:rsid w:val="00546396"/>
    <w:rsid w:val="00582563"/>
    <w:rsid w:val="00673D4D"/>
    <w:rsid w:val="0069358F"/>
    <w:rsid w:val="00693E2E"/>
    <w:rsid w:val="006B1F6B"/>
    <w:rsid w:val="00703A18"/>
    <w:rsid w:val="00707DF0"/>
    <w:rsid w:val="00751E8C"/>
    <w:rsid w:val="007B3EB0"/>
    <w:rsid w:val="007C4A0E"/>
    <w:rsid w:val="007E4ADC"/>
    <w:rsid w:val="007F7E9A"/>
    <w:rsid w:val="00800831"/>
    <w:rsid w:val="00832E41"/>
    <w:rsid w:val="00861D0B"/>
    <w:rsid w:val="00871FC8"/>
    <w:rsid w:val="0087517A"/>
    <w:rsid w:val="00883F16"/>
    <w:rsid w:val="008D1B6E"/>
    <w:rsid w:val="008F4EE6"/>
    <w:rsid w:val="0092228A"/>
    <w:rsid w:val="0097671F"/>
    <w:rsid w:val="00976859"/>
    <w:rsid w:val="009874D8"/>
    <w:rsid w:val="009E242B"/>
    <w:rsid w:val="009F73AC"/>
    <w:rsid w:val="00A21A77"/>
    <w:rsid w:val="00A24D8F"/>
    <w:rsid w:val="00A31B11"/>
    <w:rsid w:val="00A323F0"/>
    <w:rsid w:val="00A377C6"/>
    <w:rsid w:val="00AE0F46"/>
    <w:rsid w:val="00AF652F"/>
    <w:rsid w:val="00B1669C"/>
    <w:rsid w:val="00B312BB"/>
    <w:rsid w:val="00B63ACC"/>
    <w:rsid w:val="00B67052"/>
    <w:rsid w:val="00B67EFB"/>
    <w:rsid w:val="00B75DE5"/>
    <w:rsid w:val="00B76FB6"/>
    <w:rsid w:val="00B8067C"/>
    <w:rsid w:val="00B80AFA"/>
    <w:rsid w:val="00BA3845"/>
    <w:rsid w:val="00BB209B"/>
    <w:rsid w:val="00C9490D"/>
    <w:rsid w:val="00CF5C39"/>
    <w:rsid w:val="00D222AA"/>
    <w:rsid w:val="00D65FB0"/>
    <w:rsid w:val="00D97121"/>
    <w:rsid w:val="00DB7E6F"/>
    <w:rsid w:val="00DC2B0F"/>
    <w:rsid w:val="00DC65BD"/>
    <w:rsid w:val="00DF138F"/>
    <w:rsid w:val="00E031AE"/>
    <w:rsid w:val="00E143F6"/>
    <w:rsid w:val="00E333F6"/>
    <w:rsid w:val="00E4178B"/>
    <w:rsid w:val="00EE1147"/>
    <w:rsid w:val="00EF323B"/>
    <w:rsid w:val="00F46448"/>
    <w:rsid w:val="00F52C54"/>
    <w:rsid w:val="00F7564B"/>
    <w:rsid w:val="00FC24E6"/>
    <w:rsid w:val="00FF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  <w:style w:type="character" w:styleId="a8">
    <w:name w:val="FollowedHyperlink"/>
    <w:basedOn w:val="a0"/>
    <w:uiPriority w:val="99"/>
    <w:semiHidden/>
    <w:unhideWhenUsed/>
    <w:rsid w:val="000C41C0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  <w:style w:type="character" w:styleId="a8">
    <w:name w:val="FollowedHyperlink"/>
    <w:basedOn w:val="a0"/>
    <w:uiPriority w:val="99"/>
    <w:semiHidden/>
    <w:unhideWhenUsed/>
    <w:rsid w:val="000C41C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20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23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40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719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48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128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59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6462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56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63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629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93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31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3115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03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17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291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4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16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39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51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94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7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31424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86984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90904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1857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3538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5211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1888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75514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66278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252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0730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53881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1595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44880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035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8244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87222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7576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935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43849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5748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6780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2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3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23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91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01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3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41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35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72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09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688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24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45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613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493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224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871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gov.uk/government/organisations/intellectual-property-offic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117817-9B7A-4AB5-AAEF-B06C9A363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2026-08-05T00:44:00Z</dcterms:created>
  <dcterms:modified xsi:type="dcterms:W3CDTF">2026-09-04T03:01:00Z</dcterms:modified>
</cp:coreProperties>
</file>