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DE5" w:rsidRPr="00327D7E" w:rsidRDefault="00B75DE5" w:rsidP="00221986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菲律賓</w:t>
      </w:r>
      <w:r w:rsidR="00536559">
        <w:rPr>
          <w:rFonts w:hint="eastAsia"/>
          <w:sz w:val="20"/>
          <w:szCs w:val="20"/>
        </w:rPr>
        <w:t>專利</w:t>
      </w:r>
    </w:p>
    <w:p w:rsidR="003A7884" w:rsidRPr="00327D7E" w:rsidRDefault="00281ED7" w:rsidP="00221986">
      <w:pPr>
        <w:jc w:val="center"/>
        <w:rPr>
          <w:sz w:val="20"/>
          <w:szCs w:val="20"/>
        </w:rPr>
      </w:pPr>
      <w:r>
        <w:t>IPOPHL</w:t>
      </w:r>
      <w:r>
        <w:rPr>
          <w:rFonts w:hint="eastAsia"/>
          <w:sz w:val="20"/>
          <w:szCs w:val="20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hyperlink r:id="rId7" w:history="1">
        <w:r w:rsidR="003A7884" w:rsidRPr="00B47BF0">
          <w:rPr>
            <w:rStyle w:val="a6"/>
            <w:sz w:val="20"/>
            <w:szCs w:val="20"/>
          </w:rPr>
          <w:t>https://www.ipophil.gov.ph/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解決任何人類活動領域中特定技術問題的全新產品、方法或改良。</w:t>
                  </w:r>
                </w:p>
              </w:tc>
            </w:tr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實用模型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7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（不審查進步性，免實體審查）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具備新穎性與產業利用性，針對實體物品、構造或組成的實用技術改良。</w:t>
                  </w:r>
                </w:p>
              </w:tc>
            </w:tr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（可請求加速登記）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應用於工業產品上，由線條、色彩、形狀或圖案組成的創新外觀特徵。</w:t>
                  </w:r>
                </w:p>
              </w:tc>
            </w:tr>
          </w:tbl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發明採取嚴格實體審查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：菲律賓發明專利必須在申請日（或優先權日）起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月內主動提出實體審查請求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。審查標準極度向美國與歐盟看齊，強烈依賴國際檢索報告（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ISR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實用模型與設計採取快速登記制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：實用模型與工業設計不進行新穎性與進步性的實體審查。申請案在形式審查合格後會直接公告獲證，通常在幾個月內即可快速卡位。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發明與實用模型互換（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Conversion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：申請人在發明專利遭到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IPOPHL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核駁前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，如果發現技術不具備進步性，可以在法定期限內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申請將發明專利「轉換」為實用模型申請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，以保留其原始優先權日。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明確排除電腦程式與軟體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：菲律賓法律明確規定，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「電腦程式（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Computer Programs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）與軟體本身」絕對無法申請專利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。在菲律賓，軟體主要透過「著作權法」進行保護，除非軟體與特定實體硬體架構緊密結合、用以解決硬體控制的技術問題，才可能以發明專利受理。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的新穎性優惠期。但其適用條件非常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嚴格，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僅限於「發明人自己（或其前手）公開」、「因第三方濫用或惡意洩密」所導致的技術公開。</w:t>
            </w:r>
          </w:p>
          <w:p w:rsidR="00221986" w:rsidRPr="00327D7E" w:rsidRDefault="00B75DE5" w:rsidP="00B75DE5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強制本地居民代理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：外國申請人若在菲律賓境內沒有固定住所或主要營業場所，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必須強制指定並委託居住在菲律賓當地的註冊專利代理人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IPOPHL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行政執法與法院訴訟雙軌制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：這是菲律賓的一大特色，權利人有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兩條維權路徑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法律訴訟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：向指定的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區域審判法院（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Regional Trial Court, RTC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）智慧財產專責庭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提起民事侵權訴訟，以請求損害賠償。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行政查處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：如果涉案金額較低，可直接向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IPOPHL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的法律事務局（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BLA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提起行政訴訟，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BLA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有權對侵權人發出停止令、沒收產品並處以行政罰鍰。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判定原則（文義侵權與等同原則）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菲律賓法院在審理技術侵權時，首先採用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全要件原則（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All Elements Rule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進行字面文義比對。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若字面不完全相符，法院亦承認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。判定標準為：如果被控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以「實質相同的手段（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Means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）」，執行「實質相同的功能（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Function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）」，並達到「實質相同的結果（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Result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）」，即使元件文字不同，仍構成侵權。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高額懲罰性損害賠償（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Judicial Discretion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：如果原告能證明被告的侵權行為屬於「惡意」或「明知故犯（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Willful Intention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）」，法院有權行使自由裁量權，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將判決的實際損害賠償金額直接拉高至最高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）核准率偏低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：雖然法律允許權利人在訴訟初期申請臨時停止令（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TRO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）或臨時禁令，但在菲律賓專利訴訟實務中，法官對發放禁令極為謹慎，通常要求原告必須提出牢不可破的侵權證據，否則難以在判決前叫停對手的生產線。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海關備案保護（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Border Protection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：菲律賓海關（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BOC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）擁有高效率的智慧財產權備案系統。發明、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實用模型與設計在獲證後可以向海關註冊。一旦海關在邊境查獲涉嫌侵權的進出口貨物，將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直接對貨物進行扣押，並限期通知權利人進行技術鑑定與提起法律程序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221986" w:rsidRPr="00327D7E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：專利侵權民事損害賠償的追訴時效，為自侵權行為發生之日起算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4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年的部分將無法請求賠償。</w:t>
            </w:r>
          </w:p>
        </w:tc>
      </w:tr>
    </w:tbl>
    <w:p w:rsidR="00221986" w:rsidRPr="00327D7E" w:rsidRDefault="00221986" w:rsidP="00221986">
      <w:pPr>
        <w:jc w:val="center"/>
        <w:rPr>
          <w:sz w:val="20"/>
          <w:szCs w:val="20"/>
        </w:rPr>
      </w:pPr>
    </w:p>
    <w:sectPr w:rsidR="00221986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A7884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pophil.gov.p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18394-9E77-400D-8F1F-D65A7A73F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2026-08-05T00:49:00Z</dcterms:created>
  <dcterms:modified xsi:type="dcterms:W3CDTF">2026-09-04T05:29:00Z</dcterms:modified>
</cp:coreProperties>
</file>