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066" w:rsidRPr="00327D7E" w:rsidRDefault="00EE1147" w:rsidP="00061066">
      <w:pPr>
        <w:jc w:val="center"/>
        <w:rPr>
          <w:sz w:val="20"/>
          <w:szCs w:val="20"/>
        </w:rPr>
      </w:pPr>
      <w:r w:rsidRPr="00327D7E">
        <w:rPr>
          <w:rFonts w:hint="eastAsia"/>
          <w:sz w:val="20"/>
          <w:szCs w:val="20"/>
        </w:rPr>
        <w:t>西班牙</w:t>
      </w:r>
      <w:r w:rsidR="00536559">
        <w:rPr>
          <w:rFonts w:hint="eastAsia"/>
          <w:sz w:val="20"/>
          <w:szCs w:val="20"/>
        </w:rPr>
        <w:t>專利</w:t>
      </w:r>
    </w:p>
    <w:p w:rsidR="0087452E" w:rsidRPr="00327D7E" w:rsidRDefault="00520620" w:rsidP="00061066">
      <w:pPr>
        <w:jc w:val="center"/>
        <w:rPr>
          <w:sz w:val="20"/>
          <w:szCs w:val="20"/>
        </w:rPr>
      </w:pPr>
      <w:r>
        <w:rPr>
          <w:rFonts w:hint="eastAsia"/>
        </w:rPr>
        <w:t>OEPM</w:t>
      </w:r>
      <w:r w:rsidR="00FC24E6">
        <w:rPr>
          <w:rFonts w:hint="eastAsia"/>
        </w:rPr>
        <w:t xml:space="preserve"> </w:t>
      </w:r>
      <w:r w:rsidR="00061066" w:rsidRPr="00327D7E">
        <w:rPr>
          <w:rFonts w:hint="eastAsia"/>
          <w:sz w:val="20"/>
          <w:szCs w:val="20"/>
        </w:rPr>
        <w:t>網址：</w:t>
      </w:r>
      <w:hyperlink r:id="rId7" w:history="1">
        <w:r w:rsidR="0087452E" w:rsidRPr="00DA4F78">
          <w:rPr>
            <w:rStyle w:val="a6"/>
          </w:rPr>
          <w:t>https://www.oepm.es/es/</w:t>
        </w:r>
      </w:hyperlink>
      <w:bookmarkStart w:id="0" w:name="_GoBack"/>
      <w:bookmarkEnd w:id="0"/>
    </w:p>
    <w:tbl>
      <w:tblPr>
        <w:tblStyle w:val="a3"/>
        <w:tblW w:w="0" w:type="auto"/>
        <w:tblLook w:val="04A0" w:firstRow="1" w:lastRow="0" w:firstColumn="1" w:lastColumn="0" w:noHBand="0" w:noVBand="1"/>
      </w:tblPr>
      <w:tblGrid>
        <w:gridCol w:w="416"/>
        <w:gridCol w:w="10182"/>
      </w:tblGrid>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492"/>
              <w:gridCol w:w="2491"/>
              <w:gridCol w:w="2492"/>
            </w:tblGrid>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專利</w:t>
                  </w:r>
                  <w:r w:rsidRPr="00883F16">
                    <w:rPr>
                      <w:rFonts w:ascii="Arial" w:eastAsia="新細明體" w:hAnsi="Arial" w:cs="Arial"/>
                      <w:b/>
                      <w:bCs/>
                      <w:kern w:val="0"/>
                      <w:sz w:val="20"/>
                      <w:szCs w:val="20"/>
                    </w:rPr>
                    <w:t>/</w:t>
                  </w:r>
                  <w:r w:rsidRPr="00883F16">
                    <w:rPr>
                      <w:rFonts w:ascii="Arial" w:eastAsia="新細明體" w:hAnsi="Arial" w:cs="Arial"/>
                      <w:b/>
                      <w:bCs/>
                      <w:kern w:val="0"/>
                      <w:sz w:val="20"/>
                      <w:szCs w:val="20"/>
                    </w:rPr>
                    <w:t>保護種類</w:t>
                  </w:r>
                </w:p>
              </w:tc>
              <w:tc>
                <w:tcPr>
                  <w:tcW w:w="2462"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保護年限（自申請日起算）</w:t>
                  </w:r>
                </w:p>
              </w:tc>
              <w:tc>
                <w:tcPr>
                  <w:tcW w:w="2461"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審查制度</w:t>
                  </w:r>
                </w:p>
              </w:tc>
              <w:tc>
                <w:tcPr>
                  <w:tcW w:w="2447" w:type="dxa"/>
                  <w:tcBorders>
                    <w:bottom w:val="single" w:sz="6" w:space="0" w:color="DCDFE5"/>
                  </w:tcBorders>
                  <w:vAlign w:val="center"/>
                  <w:hideMark/>
                </w:tcPr>
                <w:p w:rsidR="00883F16" w:rsidRPr="00883F16" w:rsidRDefault="00883F16" w:rsidP="00883F16">
                  <w:pPr>
                    <w:widowControl/>
                    <w:jc w:val="center"/>
                    <w:rPr>
                      <w:rFonts w:ascii="Arial" w:eastAsia="新細明體" w:hAnsi="Arial" w:cs="Arial"/>
                      <w:b/>
                      <w:bCs/>
                      <w:kern w:val="0"/>
                      <w:sz w:val="20"/>
                      <w:szCs w:val="20"/>
                    </w:rPr>
                  </w:pPr>
                  <w:r w:rsidRPr="00883F16">
                    <w:rPr>
                      <w:rFonts w:ascii="Arial" w:eastAsia="新細明體" w:hAnsi="Arial" w:cs="Arial"/>
                      <w:b/>
                      <w:bCs/>
                      <w:kern w:val="0"/>
                      <w:sz w:val="20"/>
                      <w:szCs w:val="20"/>
                    </w:rPr>
                    <w:t>核心保護標的</w:t>
                  </w:r>
                </w:p>
              </w:tc>
            </w:tr>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發明專利</w:t>
                  </w:r>
                </w:p>
              </w:tc>
              <w:tc>
                <w:tcPr>
                  <w:tcW w:w="2462"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20 </w:t>
                  </w:r>
                  <w:r w:rsidRPr="00327D7E">
                    <w:rPr>
                      <w:rFonts w:ascii="Arial" w:eastAsia="新細明體" w:hAnsi="Arial" w:cs="Arial"/>
                      <w:b/>
                      <w:bCs/>
                      <w:kern w:val="0"/>
                      <w:sz w:val="20"/>
                      <w:szCs w:val="20"/>
                    </w:rPr>
                    <w:t>年</w:t>
                  </w:r>
                </w:p>
              </w:tc>
              <w:tc>
                <w:tcPr>
                  <w:tcW w:w="2461"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全面實體審查制</w:t>
                  </w:r>
                  <w:r w:rsidRPr="00883F16">
                    <w:rPr>
                      <w:rFonts w:ascii="Arial" w:eastAsia="新細明體" w:hAnsi="Arial" w:cs="Arial"/>
                      <w:kern w:val="0"/>
                      <w:sz w:val="20"/>
                      <w:szCs w:val="20"/>
                    </w:rPr>
                    <w:t>（含新穎性與進步性）</w:t>
                  </w:r>
                </w:p>
              </w:tc>
              <w:tc>
                <w:tcPr>
                  <w:tcW w:w="2447"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具備新穎性、進步性與產業利用性的技術或方法發明。</w:t>
                  </w:r>
                </w:p>
              </w:tc>
            </w:tr>
            <w:tr w:rsidR="00883F16" w:rsidRPr="00327D7E" w:rsidTr="00883F16">
              <w:trPr>
                <w:tblCellSpacing w:w="15" w:type="dxa"/>
              </w:trPr>
              <w:tc>
                <w:tcPr>
                  <w:tcW w:w="2446"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新型專利</w:t>
                  </w:r>
                </w:p>
              </w:tc>
              <w:tc>
                <w:tcPr>
                  <w:tcW w:w="2462"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10 </w:t>
                  </w:r>
                  <w:r w:rsidRPr="00327D7E">
                    <w:rPr>
                      <w:rFonts w:ascii="Arial" w:eastAsia="新細明體" w:hAnsi="Arial" w:cs="Arial"/>
                      <w:b/>
                      <w:bCs/>
                      <w:kern w:val="0"/>
                      <w:sz w:val="20"/>
                      <w:szCs w:val="20"/>
                    </w:rPr>
                    <w:t>年</w:t>
                  </w:r>
                </w:p>
              </w:tc>
              <w:tc>
                <w:tcPr>
                  <w:tcW w:w="2461"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形式審查制（</w:t>
                  </w:r>
                  <w:r w:rsidRPr="00327D7E">
                    <w:rPr>
                      <w:rFonts w:ascii="Arial" w:eastAsia="新細明體" w:hAnsi="Arial" w:cs="Arial"/>
                      <w:b/>
                      <w:bCs/>
                      <w:kern w:val="0"/>
                      <w:sz w:val="20"/>
                      <w:szCs w:val="20"/>
                    </w:rPr>
                    <w:t>新增強制檢索報告</w:t>
                  </w:r>
                  <w:r w:rsidRPr="00883F16">
                    <w:rPr>
                      <w:rFonts w:ascii="Arial" w:eastAsia="新細明體" w:hAnsi="Arial" w:cs="Arial"/>
                      <w:kern w:val="0"/>
                      <w:sz w:val="20"/>
                      <w:szCs w:val="20"/>
                    </w:rPr>
                    <w:t>）</w:t>
                  </w:r>
                </w:p>
              </w:tc>
              <w:tc>
                <w:tcPr>
                  <w:tcW w:w="2447" w:type="dxa"/>
                  <w:tcBorders>
                    <w:bottom w:val="single" w:sz="6" w:space="0" w:color="DCDFE5"/>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賦予物品在結構、構造或組成上具備實用效益的技術發明（</w:t>
                  </w:r>
                  <w:r w:rsidRPr="00327D7E">
                    <w:rPr>
                      <w:rFonts w:ascii="Arial" w:eastAsia="新細明體" w:hAnsi="Arial" w:cs="Arial"/>
                      <w:b/>
                      <w:bCs/>
                      <w:kern w:val="0"/>
                      <w:sz w:val="20"/>
                      <w:szCs w:val="20"/>
                    </w:rPr>
                    <w:t>化學品、生物物質及方法除外</w:t>
                  </w:r>
                  <w:r w:rsidRPr="00883F16">
                    <w:rPr>
                      <w:rFonts w:ascii="Arial" w:eastAsia="新細明體" w:hAnsi="Arial" w:cs="Arial"/>
                      <w:kern w:val="0"/>
                      <w:sz w:val="20"/>
                      <w:szCs w:val="20"/>
                    </w:rPr>
                    <w:t>）。</w:t>
                  </w:r>
                </w:p>
              </w:tc>
            </w:tr>
            <w:tr w:rsidR="00883F16" w:rsidRPr="00327D7E" w:rsidTr="00883F16">
              <w:trPr>
                <w:tblCellSpacing w:w="15" w:type="dxa"/>
              </w:trPr>
              <w:tc>
                <w:tcPr>
                  <w:tcW w:w="2446"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設計專利</w:t>
                  </w:r>
                </w:p>
              </w:tc>
              <w:tc>
                <w:tcPr>
                  <w:tcW w:w="2462"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327D7E">
                    <w:rPr>
                      <w:rFonts w:ascii="Arial" w:eastAsia="新細明體" w:hAnsi="Arial" w:cs="Arial"/>
                      <w:b/>
                      <w:bCs/>
                      <w:kern w:val="0"/>
                      <w:sz w:val="20"/>
                      <w:szCs w:val="20"/>
                    </w:rPr>
                    <w:t xml:space="preserve">5 </w:t>
                  </w:r>
                  <w:r w:rsidRPr="00327D7E">
                    <w:rPr>
                      <w:rFonts w:ascii="Arial" w:eastAsia="新細明體" w:hAnsi="Arial" w:cs="Arial"/>
                      <w:b/>
                      <w:bCs/>
                      <w:kern w:val="0"/>
                      <w:sz w:val="20"/>
                      <w:szCs w:val="20"/>
                    </w:rPr>
                    <w:t>年</w:t>
                  </w:r>
                  <w:r w:rsidRPr="00883F16">
                    <w:rPr>
                      <w:rFonts w:ascii="Arial" w:eastAsia="新細明體" w:hAnsi="Arial" w:cs="Arial"/>
                      <w:kern w:val="0"/>
                      <w:sz w:val="20"/>
                      <w:szCs w:val="20"/>
                    </w:rPr>
                    <w:t>（可展延</w:t>
                  </w:r>
                  <w:r w:rsidRPr="00883F16">
                    <w:rPr>
                      <w:rFonts w:ascii="Arial" w:eastAsia="新細明體" w:hAnsi="Arial" w:cs="Arial"/>
                      <w:kern w:val="0"/>
                      <w:sz w:val="20"/>
                      <w:szCs w:val="20"/>
                    </w:rPr>
                    <w:t>4</w:t>
                  </w:r>
                  <w:r w:rsidRPr="00883F16">
                    <w:rPr>
                      <w:rFonts w:ascii="Arial" w:eastAsia="新細明體" w:hAnsi="Arial" w:cs="Arial"/>
                      <w:kern w:val="0"/>
                      <w:sz w:val="20"/>
                      <w:szCs w:val="20"/>
                    </w:rPr>
                    <w:t>次，最長</w:t>
                  </w:r>
                  <w:r w:rsidRPr="00883F16">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25 </w:t>
                  </w:r>
                  <w:r w:rsidRPr="00327D7E">
                    <w:rPr>
                      <w:rFonts w:ascii="Arial" w:eastAsia="新細明體" w:hAnsi="Arial" w:cs="Arial"/>
                      <w:b/>
                      <w:bCs/>
                      <w:kern w:val="0"/>
                      <w:sz w:val="20"/>
                      <w:szCs w:val="20"/>
                    </w:rPr>
                    <w:t>年</w:t>
                  </w:r>
                  <w:r w:rsidRPr="00883F16">
                    <w:rPr>
                      <w:rFonts w:ascii="Arial" w:eastAsia="新細明體" w:hAnsi="Arial" w:cs="Arial"/>
                      <w:kern w:val="0"/>
                      <w:sz w:val="20"/>
                      <w:szCs w:val="20"/>
                    </w:rPr>
                    <w:t>）</w:t>
                  </w:r>
                </w:p>
              </w:tc>
              <w:tc>
                <w:tcPr>
                  <w:tcW w:w="2461"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形式審查制</w:t>
                  </w:r>
                </w:p>
              </w:tc>
              <w:tc>
                <w:tcPr>
                  <w:tcW w:w="2447" w:type="dxa"/>
                  <w:tcBorders>
                    <w:bottom w:val="nil"/>
                  </w:tcBorders>
                  <w:vAlign w:val="center"/>
                  <w:hideMark/>
                </w:tcPr>
                <w:p w:rsidR="00883F16" w:rsidRPr="00883F16" w:rsidRDefault="00883F16" w:rsidP="00883F16">
                  <w:pPr>
                    <w:widowControl/>
                    <w:rPr>
                      <w:rFonts w:ascii="Arial" w:eastAsia="新細明體" w:hAnsi="Arial" w:cs="Arial"/>
                      <w:kern w:val="0"/>
                      <w:sz w:val="20"/>
                      <w:szCs w:val="20"/>
                    </w:rPr>
                  </w:pPr>
                  <w:r w:rsidRPr="00883F16">
                    <w:rPr>
                      <w:rFonts w:ascii="Arial" w:eastAsia="新細明體" w:hAnsi="Arial" w:cs="Arial"/>
                      <w:kern w:val="0"/>
                      <w:sz w:val="20"/>
                      <w:szCs w:val="20"/>
                    </w:rPr>
                    <w:t>產品全部或部分的創新外觀、線條、色彩、形狀或材料。</w:t>
                  </w:r>
                </w:p>
              </w:tc>
            </w:tr>
          </w:tbl>
          <w:p w:rsidR="00061066" w:rsidRPr="00327D7E" w:rsidRDefault="00061066" w:rsidP="000132D8">
            <w:pPr>
              <w:jc w:val="center"/>
              <w:rPr>
                <w:sz w:val="20"/>
                <w:szCs w:val="20"/>
              </w:rPr>
            </w:pPr>
          </w:p>
        </w:tc>
      </w:tr>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申請要點</w:t>
            </w:r>
          </w:p>
        </w:tc>
        <w:tc>
          <w:tcPr>
            <w:tcW w:w="10182" w:type="dxa"/>
          </w:tcPr>
          <w:p w:rsidR="00B80AFA" w:rsidRPr="00B80AFA"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廢除無審查獲證制度</w:t>
            </w:r>
            <w:r w:rsidRPr="00327D7E">
              <w:rPr>
                <w:rFonts w:ascii="Arial" w:eastAsia="新細明體" w:hAnsi="Arial" w:cs="Arial"/>
                <w:kern w:val="0"/>
                <w:sz w:val="20"/>
                <w:szCs w:val="20"/>
              </w:rPr>
              <w:t>：自新專利法實施後，西班牙</w:t>
            </w:r>
            <w:r w:rsidRPr="00327D7E">
              <w:rPr>
                <w:rFonts w:ascii="Arial" w:eastAsia="新細明體" w:hAnsi="Arial" w:cs="Arial"/>
                <w:b/>
                <w:bCs/>
                <w:kern w:val="0"/>
                <w:sz w:val="20"/>
                <w:szCs w:val="20"/>
              </w:rPr>
              <w:t>徹底廢除了過去「不經實體審查即可公告獲證」的雙軌制</w:t>
            </w:r>
            <w:r w:rsidRPr="00327D7E">
              <w:rPr>
                <w:rFonts w:ascii="Arial" w:eastAsia="新細明體" w:hAnsi="Arial" w:cs="Arial"/>
                <w:kern w:val="0"/>
                <w:sz w:val="20"/>
                <w:szCs w:val="20"/>
              </w:rPr>
              <w:t>。現在所有的國家發明專利申請，</w:t>
            </w:r>
            <w:r w:rsidRPr="00327D7E">
              <w:rPr>
                <w:rFonts w:ascii="Arial" w:eastAsia="新細明體" w:hAnsi="Arial" w:cs="Arial"/>
                <w:b/>
                <w:bCs/>
                <w:kern w:val="0"/>
                <w:sz w:val="20"/>
                <w:szCs w:val="20"/>
              </w:rPr>
              <w:t>必須強制接受</w:t>
            </w:r>
            <w:r w:rsidRPr="00327D7E">
              <w:rPr>
                <w:rFonts w:ascii="Arial" w:eastAsia="新細明體" w:hAnsi="Arial" w:cs="Arial"/>
                <w:b/>
                <w:bCs/>
                <w:kern w:val="0"/>
                <w:sz w:val="20"/>
                <w:szCs w:val="20"/>
              </w:rPr>
              <w:t xml:space="preserve"> OEPM </w:t>
            </w:r>
            <w:r w:rsidRPr="00327D7E">
              <w:rPr>
                <w:rFonts w:ascii="Arial" w:eastAsia="新細明體" w:hAnsi="Arial" w:cs="Arial"/>
                <w:b/>
                <w:bCs/>
                <w:kern w:val="0"/>
                <w:sz w:val="20"/>
                <w:szCs w:val="20"/>
              </w:rPr>
              <w:t>的實體審查（審查新穎性與進步性）</w:t>
            </w:r>
            <w:r w:rsidRPr="00327D7E">
              <w:rPr>
                <w:rFonts w:ascii="Arial" w:eastAsia="新細明體" w:hAnsi="Arial" w:cs="Arial"/>
                <w:kern w:val="0"/>
                <w:sz w:val="20"/>
                <w:szCs w:val="20"/>
              </w:rPr>
              <w:t>，大幅降低了過去「垃圾專利」氾濫的現象。</w:t>
            </w:r>
          </w:p>
          <w:p w:rsidR="00B80AFA" w:rsidRPr="00B80AFA" w:rsidRDefault="00B80AFA" w:rsidP="00B67052">
            <w:pPr>
              <w:widowControl/>
              <w:numPr>
                <w:ilvl w:val="0"/>
                <w:numId w:val="26"/>
              </w:numPr>
              <w:ind w:left="0"/>
              <w:rPr>
                <w:rFonts w:ascii="Arial" w:eastAsia="新細明體" w:hAnsi="Arial" w:cs="Arial"/>
                <w:kern w:val="0"/>
                <w:sz w:val="20"/>
                <w:szCs w:val="20"/>
              </w:rPr>
            </w:pPr>
            <w:r w:rsidRPr="00327D7E">
              <w:rPr>
                <w:rFonts w:ascii="新細明體" w:eastAsia="新細明體" w:hAnsi="Symbol" w:cs="新細明體" w:hint="eastAsia"/>
                <w:kern w:val="0"/>
                <w:sz w:val="20"/>
                <w:szCs w:val="20"/>
              </w:rPr>
              <w:t xml:space="preserve">  </w:t>
            </w: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新型專利保護範圍擴大（但排除特定標的）</w:t>
            </w:r>
            <w:r w:rsidRPr="00327D7E">
              <w:rPr>
                <w:rFonts w:ascii="Arial" w:eastAsia="新細明體" w:hAnsi="Arial" w:cs="Arial"/>
                <w:kern w:val="0"/>
                <w:sz w:val="20"/>
                <w:szCs w:val="20"/>
              </w:rPr>
              <w:t>：</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kern w:val="0"/>
                <w:sz w:val="20"/>
                <w:szCs w:val="20"/>
              </w:rPr>
              <w:t>新法放寬了新型專利的限制，不再僅限於「工具或器械」，任何形狀或組成的「物品、產品」皆可申請。</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新細明體" w:eastAsia="新細明體" w:hAnsi="Symbol" w:cs="新細明體" w:hint="eastAsia"/>
                <w:kern w:val="0"/>
                <w:sz w:val="20"/>
                <w:szCs w:val="20"/>
              </w:rPr>
              <w:t xml:space="preserve">  </w:t>
            </w:r>
            <w:r w:rsidRPr="00326595">
              <w:rPr>
                <w:rFonts w:ascii="新細明體" w:eastAsia="新細明體" w:hAnsi="Symbol" w:cs="新細明體"/>
                <w:kern w:val="0"/>
                <w:sz w:val="20"/>
                <w:szCs w:val="20"/>
              </w:rPr>
              <w:t></w:t>
            </w:r>
            <w:r w:rsidRPr="00326595">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特別注意</w:t>
            </w:r>
            <w:r w:rsidRPr="00327D7E">
              <w:rPr>
                <w:rFonts w:ascii="Arial" w:eastAsia="新細明體" w:hAnsi="Arial" w:cs="Arial"/>
                <w:kern w:val="0"/>
                <w:sz w:val="20"/>
                <w:szCs w:val="20"/>
              </w:rPr>
              <w:t>：</w:t>
            </w:r>
            <w:r w:rsidRPr="00327D7E">
              <w:rPr>
                <w:rFonts w:ascii="Arial" w:eastAsia="新細明體" w:hAnsi="Arial" w:cs="Arial"/>
                <w:b/>
                <w:bCs/>
                <w:kern w:val="0"/>
                <w:sz w:val="20"/>
                <w:szCs w:val="20"/>
              </w:rPr>
              <w:t>方法（</w:t>
            </w:r>
            <w:r w:rsidRPr="00327D7E">
              <w:rPr>
                <w:rFonts w:ascii="Arial" w:eastAsia="新細明體" w:hAnsi="Arial" w:cs="Arial"/>
                <w:b/>
                <w:bCs/>
                <w:kern w:val="0"/>
                <w:sz w:val="20"/>
                <w:szCs w:val="20"/>
              </w:rPr>
              <w:t>Process/Method</w:t>
            </w:r>
            <w:r w:rsidRPr="00327D7E">
              <w:rPr>
                <w:rFonts w:ascii="Arial" w:eastAsia="新細明體" w:hAnsi="Arial" w:cs="Arial"/>
                <w:b/>
                <w:bCs/>
                <w:kern w:val="0"/>
                <w:sz w:val="20"/>
                <w:szCs w:val="20"/>
              </w:rPr>
              <w:t>）、化學物質、生物物質以及醫藥品</w:t>
            </w:r>
            <w:r w:rsidRPr="00327D7E">
              <w:rPr>
                <w:rFonts w:ascii="Arial" w:eastAsia="新細明體" w:hAnsi="Arial" w:cs="Arial"/>
                <w:kern w:val="0"/>
                <w:sz w:val="20"/>
                <w:szCs w:val="20"/>
              </w:rPr>
              <w:t>，在西班牙</w:t>
            </w:r>
            <w:r w:rsidRPr="00327D7E">
              <w:rPr>
                <w:rFonts w:ascii="Arial" w:eastAsia="新細明體" w:hAnsi="Arial" w:cs="Arial"/>
                <w:b/>
                <w:bCs/>
                <w:kern w:val="0"/>
                <w:sz w:val="20"/>
                <w:szCs w:val="20"/>
              </w:rPr>
              <w:t>絕對無法</w:t>
            </w:r>
            <w:r w:rsidRPr="00327D7E">
              <w:rPr>
                <w:rFonts w:ascii="Arial" w:eastAsia="新細明體" w:hAnsi="Arial" w:cs="Arial"/>
                <w:kern w:val="0"/>
                <w:sz w:val="20"/>
                <w:szCs w:val="20"/>
              </w:rPr>
              <w:t>申請新型專利。</w:t>
            </w:r>
          </w:p>
          <w:p w:rsidR="00B80AFA" w:rsidRPr="00B80AFA"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新型專利強制檢索與異議期</w:t>
            </w:r>
            <w:r w:rsidRPr="00327D7E">
              <w:rPr>
                <w:rFonts w:ascii="Arial" w:eastAsia="新細明體" w:hAnsi="Arial" w:cs="Arial"/>
                <w:kern w:val="0"/>
                <w:sz w:val="20"/>
                <w:szCs w:val="20"/>
              </w:rPr>
              <w:t>：</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kern w:val="0"/>
                <w:sz w:val="20"/>
                <w:szCs w:val="20"/>
              </w:rPr>
              <w:t>西班牙新型專利雖不進行進步性審查，但</w:t>
            </w:r>
            <w:r w:rsidRPr="00327D7E">
              <w:rPr>
                <w:rFonts w:ascii="Arial" w:eastAsia="新細明體" w:hAnsi="Arial" w:cs="Arial"/>
                <w:kern w:val="0"/>
                <w:sz w:val="20"/>
                <w:szCs w:val="20"/>
              </w:rPr>
              <w:t xml:space="preserve"> OEPM </w:t>
            </w:r>
            <w:r w:rsidRPr="00327D7E">
              <w:rPr>
                <w:rFonts w:ascii="Arial" w:eastAsia="新細明體" w:hAnsi="Arial" w:cs="Arial"/>
                <w:b/>
                <w:bCs/>
                <w:kern w:val="0"/>
                <w:sz w:val="20"/>
                <w:szCs w:val="20"/>
              </w:rPr>
              <w:t>強制要求製作官方新穎性檢索報告（</w:t>
            </w:r>
            <w:r w:rsidRPr="00327D7E">
              <w:rPr>
                <w:rFonts w:ascii="Arial" w:eastAsia="新細明體" w:hAnsi="Arial" w:cs="Arial"/>
                <w:b/>
                <w:bCs/>
                <w:kern w:val="0"/>
                <w:sz w:val="20"/>
                <w:szCs w:val="20"/>
              </w:rPr>
              <w:t>IET</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，且申請案會向大眾公開。</w:t>
            </w:r>
          </w:p>
          <w:p w:rsidR="00B80AFA" w:rsidRPr="00B80AFA" w:rsidRDefault="00B80AFA" w:rsidP="00B67052">
            <w:pPr>
              <w:widowControl/>
              <w:numPr>
                <w:ilvl w:val="1"/>
                <w:numId w:val="26"/>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kern w:val="0"/>
                <w:sz w:val="20"/>
                <w:szCs w:val="20"/>
              </w:rPr>
              <w:t>公開後設有</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2 </w:t>
            </w:r>
            <w:proofErr w:type="gramStart"/>
            <w:r w:rsidRPr="00327D7E">
              <w:rPr>
                <w:rFonts w:ascii="Arial" w:eastAsia="新細明體" w:hAnsi="Arial" w:cs="Arial"/>
                <w:b/>
                <w:bCs/>
                <w:kern w:val="0"/>
                <w:sz w:val="20"/>
                <w:szCs w:val="20"/>
              </w:rPr>
              <w:t>個</w:t>
            </w:r>
            <w:proofErr w:type="gramEnd"/>
            <w:r w:rsidRPr="00327D7E">
              <w:rPr>
                <w:rFonts w:ascii="Arial" w:eastAsia="新細明體" w:hAnsi="Arial" w:cs="Arial"/>
                <w:b/>
                <w:bCs/>
                <w:kern w:val="0"/>
                <w:sz w:val="20"/>
                <w:szCs w:val="20"/>
              </w:rPr>
              <w:t>月的異議期（</w:t>
            </w:r>
            <w:r w:rsidRPr="00327D7E">
              <w:rPr>
                <w:rFonts w:ascii="Arial" w:eastAsia="新細明體" w:hAnsi="Arial" w:cs="Arial"/>
                <w:b/>
                <w:bCs/>
                <w:kern w:val="0"/>
                <w:sz w:val="20"/>
                <w:szCs w:val="20"/>
              </w:rPr>
              <w:t>Opposition</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，任何第三方皆可在此階段提出反對，其審查嚴格度在歐洲各國新型專利中屬於偏高者。</w:t>
            </w:r>
          </w:p>
          <w:p w:rsidR="00061066" w:rsidRPr="00327D7E" w:rsidRDefault="00B80AFA" w:rsidP="00B67052">
            <w:pPr>
              <w:widowControl/>
              <w:numPr>
                <w:ilvl w:val="0"/>
                <w:numId w:val="26"/>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新穎性優惠期（</w:t>
            </w:r>
            <w:r w:rsidRPr="00327D7E">
              <w:rPr>
                <w:rFonts w:ascii="Arial" w:eastAsia="新細明體" w:hAnsi="Arial" w:cs="Arial"/>
                <w:b/>
                <w:bCs/>
                <w:kern w:val="0"/>
                <w:sz w:val="20"/>
                <w:szCs w:val="20"/>
              </w:rPr>
              <w:t>Grace Period</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：西班牙發明專利提供</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6 </w:t>
            </w:r>
            <w:proofErr w:type="gramStart"/>
            <w:r w:rsidRPr="00327D7E">
              <w:rPr>
                <w:rFonts w:ascii="Arial" w:eastAsia="新細明體" w:hAnsi="Arial" w:cs="Arial"/>
                <w:b/>
                <w:bCs/>
                <w:kern w:val="0"/>
                <w:sz w:val="20"/>
                <w:szCs w:val="20"/>
              </w:rPr>
              <w:t>個</w:t>
            </w:r>
            <w:proofErr w:type="gramEnd"/>
            <w:r w:rsidRPr="00327D7E">
              <w:rPr>
                <w:rFonts w:ascii="Arial" w:eastAsia="新細明體" w:hAnsi="Arial" w:cs="Arial"/>
                <w:b/>
                <w:bCs/>
                <w:kern w:val="0"/>
                <w:sz w:val="20"/>
                <w:szCs w:val="20"/>
              </w:rPr>
              <w:t>月</w:t>
            </w:r>
            <w:r w:rsidRPr="00327D7E">
              <w:rPr>
                <w:rFonts w:ascii="Arial" w:eastAsia="新細明體" w:hAnsi="Arial" w:cs="Arial"/>
                <w:kern w:val="0"/>
                <w:sz w:val="20"/>
                <w:szCs w:val="20"/>
              </w:rPr>
              <w:t xml:space="preserve"> </w:t>
            </w:r>
            <w:r w:rsidRPr="00327D7E">
              <w:rPr>
                <w:rFonts w:ascii="Arial" w:eastAsia="新細明體" w:hAnsi="Arial" w:cs="Arial"/>
                <w:kern w:val="0"/>
                <w:sz w:val="20"/>
                <w:szCs w:val="20"/>
              </w:rPr>
              <w:t>的嚴格新穎性優惠期，但僅限於「因第三方惡意濫用（如洩密）」或「在官方認可的國際展覽會上展出」所導致的公開，若是發明人自行發表論文或商業化，則不適用。</w:t>
            </w:r>
          </w:p>
        </w:tc>
      </w:tr>
      <w:tr w:rsidR="00061066" w:rsidRPr="00327D7E" w:rsidTr="000132D8">
        <w:tc>
          <w:tcPr>
            <w:tcW w:w="416" w:type="dxa"/>
            <w:vAlign w:val="center"/>
          </w:tcPr>
          <w:p w:rsidR="00061066" w:rsidRPr="00327D7E" w:rsidRDefault="00061066" w:rsidP="000132D8">
            <w:pPr>
              <w:jc w:val="center"/>
              <w:rPr>
                <w:sz w:val="20"/>
                <w:szCs w:val="20"/>
              </w:rPr>
            </w:pPr>
            <w:r w:rsidRPr="00327D7E">
              <w:rPr>
                <w:rFonts w:hint="eastAsia"/>
                <w:sz w:val="20"/>
                <w:szCs w:val="20"/>
              </w:rPr>
              <w:t>專利爭議侵權</w:t>
            </w:r>
          </w:p>
        </w:tc>
        <w:tc>
          <w:tcPr>
            <w:tcW w:w="10182" w:type="dxa"/>
          </w:tcPr>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專責商業法院管轄</w:t>
            </w:r>
            <w:r w:rsidRPr="00327D7E">
              <w:rPr>
                <w:rFonts w:ascii="Arial" w:eastAsia="新細明體" w:hAnsi="Arial" w:cs="Arial"/>
                <w:kern w:val="0"/>
                <w:sz w:val="20"/>
                <w:szCs w:val="20"/>
              </w:rPr>
              <w:t>：專利侵權與無效訴訟由西班牙各自治區設有智慧財產權專責庭的商業法院（</w:t>
            </w:r>
            <w:proofErr w:type="spellStart"/>
            <w:r w:rsidRPr="00327D7E">
              <w:rPr>
                <w:rFonts w:ascii="Arial" w:eastAsia="新細明體" w:hAnsi="Arial" w:cs="Arial"/>
                <w:kern w:val="0"/>
                <w:sz w:val="20"/>
                <w:szCs w:val="20"/>
              </w:rPr>
              <w:t>Juzgados</w:t>
            </w:r>
            <w:proofErr w:type="spellEnd"/>
            <w:r w:rsidRPr="00327D7E">
              <w:rPr>
                <w:rFonts w:ascii="Arial" w:eastAsia="新細明體" w:hAnsi="Arial" w:cs="Arial"/>
                <w:kern w:val="0"/>
                <w:sz w:val="20"/>
                <w:szCs w:val="20"/>
              </w:rPr>
              <w:t xml:space="preserve"> de lo </w:t>
            </w:r>
            <w:proofErr w:type="spellStart"/>
            <w:r w:rsidRPr="00327D7E">
              <w:rPr>
                <w:rFonts w:ascii="Arial" w:eastAsia="新細明體" w:hAnsi="Arial" w:cs="Arial"/>
                <w:kern w:val="0"/>
                <w:sz w:val="20"/>
                <w:szCs w:val="20"/>
              </w:rPr>
              <w:t>Mercantil</w:t>
            </w:r>
            <w:proofErr w:type="spellEnd"/>
            <w:r w:rsidRPr="00327D7E">
              <w:rPr>
                <w:rFonts w:ascii="Arial" w:eastAsia="新細明體" w:hAnsi="Arial" w:cs="Arial"/>
                <w:kern w:val="0"/>
                <w:sz w:val="20"/>
                <w:szCs w:val="20"/>
              </w:rPr>
              <w:t>）審理，其中以巴塞隆納和</w:t>
            </w:r>
            <w:r w:rsidRPr="00327D7E">
              <w:rPr>
                <w:rFonts w:ascii="Arial" w:eastAsia="新細明體" w:hAnsi="Arial" w:cs="Arial"/>
                <w:b/>
                <w:bCs/>
                <w:kern w:val="0"/>
                <w:sz w:val="20"/>
                <w:szCs w:val="20"/>
              </w:rPr>
              <w:t>馬德里</w:t>
            </w:r>
            <w:r w:rsidRPr="00327D7E">
              <w:rPr>
                <w:rFonts w:ascii="Arial" w:eastAsia="新細明體" w:hAnsi="Arial" w:cs="Arial"/>
                <w:kern w:val="0"/>
                <w:sz w:val="20"/>
                <w:szCs w:val="20"/>
              </w:rPr>
              <w:t>的商業法院在處理複雜國際專利訴訟上最為經驗豐富。</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新型專利訴訟的「強制檢索」門檻</w:t>
            </w:r>
            <w:r w:rsidRPr="00327D7E">
              <w:rPr>
                <w:rFonts w:ascii="Arial" w:eastAsia="新細明體" w:hAnsi="Arial" w:cs="Arial"/>
                <w:kern w:val="0"/>
                <w:sz w:val="20"/>
                <w:szCs w:val="20"/>
              </w:rPr>
              <w:t>：如果您欲基於西班牙「新型專利」對他人提起侵權訴訟，</w:t>
            </w:r>
            <w:r w:rsidRPr="00327D7E">
              <w:rPr>
                <w:rFonts w:ascii="Arial" w:eastAsia="新細明體" w:hAnsi="Arial" w:cs="Arial"/>
                <w:b/>
                <w:bCs/>
                <w:kern w:val="0"/>
                <w:sz w:val="20"/>
                <w:szCs w:val="20"/>
              </w:rPr>
              <w:t>必須在起訴前向</w:t>
            </w:r>
            <w:r w:rsidRPr="00327D7E">
              <w:rPr>
                <w:rFonts w:ascii="Arial" w:eastAsia="新細明體" w:hAnsi="Arial" w:cs="Arial"/>
                <w:b/>
                <w:bCs/>
                <w:kern w:val="0"/>
                <w:sz w:val="20"/>
                <w:szCs w:val="20"/>
              </w:rPr>
              <w:t xml:space="preserve"> OEPM </w:t>
            </w:r>
            <w:r w:rsidRPr="00327D7E">
              <w:rPr>
                <w:rFonts w:ascii="Arial" w:eastAsia="新細明體" w:hAnsi="Arial" w:cs="Arial"/>
                <w:b/>
                <w:bCs/>
                <w:kern w:val="0"/>
                <w:sz w:val="20"/>
                <w:szCs w:val="20"/>
              </w:rPr>
              <w:t>申請並取得新穎性檢索報告（</w:t>
            </w:r>
            <w:r w:rsidRPr="00327D7E">
              <w:rPr>
                <w:rFonts w:ascii="Arial" w:eastAsia="新細明體" w:hAnsi="Arial" w:cs="Arial"/>
                <w:b/>
                <w:bCs/>
                <w:kern w:val="0"/>
                <w:sz w:val="20"/>
                <w:szCs w:val="20"/>
              </w:rPr>
              <w:t>IET</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，並將該</w:t>
            </w:r>
            <w:proofErr w:type="gramStart"/>
            <w:r w:rsidRPr="00327D7E">
              <w:rPr>
                <w:rFonts w:ascii="Arial" w:eastAsia="新細明體" w:hAnsi="Arial" w:cs="Arial"/>
                <w:kern w:val="0"/>
                <w:sz w:val="20"/>
                <w:szCs w:val="20"/>
              </w:rPr>
              <w:t>報告隨起訴狀</w:t>
            </w:r>
            <w:proofErr w:type="gramEnd"/>
            <w:r w:rsidRPr="00327D7E">
              <w:rPr>
                <w:rFonts w:ascii="Arial" w:eastAsia="新細明體" w:hAnsi="Arial" w:cs="Arial"/>
                <w:kern w:val="0"/>
                <w:sz w:val="20"/>
                <w:szCs w:val="20"/>
              </w:rPr>
              <w:t>一同提交給法院。若未附上報告，法院將直接駁回起訴。</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「事實保留」先行取證機制（</w:t>
            </w:r>
            <w:proofErr w:type="spellStart"/>
            <w:r w:rsidRPr="00327D7E">
              <w:rPr>
                <w:rFonts w:ascii="Arial" w:eastAsia="新細明體" w:hAnsi="Arial" w:cs="Arial"/>
                <w:b/>
                <w:bCs/>
                <w:kern w:val="0"/>
                <w:sz w:val="20"/>
                <w:szCs w:val="20"/>
              </w:rPr>
              <w:t>Diligencias</w:t>
            </w:r>
            <w:proofErr w:type="spellEnd"/>
            <w:r w:rsidRPr="00327D7E">
              <w:rPr>
                <w:rFonts w:ascii="Arial" w:eastAsia="新細明體" w:hAnsi="Arial" w:cs="Arial"/>
                <w:b/>
                <w:bCs/>
                <w:kern w:val="0"/>
                <w:sz w:val="20"/>
                <w:szCs w:val="20"/>
              </w:rPr>
              <w:t xml:space="preserve"> </w:t>
            </w:r>
            <w:proofErr w:type="spellStart"/>
            <w:r w:rsidRPr="00327D7E">
              <w:rPr>
                <w:rFonts w:ascii="Arial" w:eastAsia="新細明體" w:hAnsi="Arial" w:cs="Arial"/>
                <w:b/>
                <w:bCs/>
                <w:kern w:val="0"/>
                <w:sz w:val="20"/>
                <w:szCs w:val="20"/>
              </w:rPr>
              <w:t>Preliminares</w:t>
            </w:r>
            <w:proofErr w:type="spellEnd"/>
            <w:r w:rsidRPr="00327D7E">
              <w:rPr>
                <w:rFonts w:ascii="Arial" w:eastAsia="新細明體" w:hAnsi="Arial" w:cs="Arial"/>
                <w:b/>
                <w:bCs/>
                <w:kern w:val="0"/>
                <w:sz w:val="20"/>
                <w:szCs w:val="20"/>
              </w:rPr>
              <w:t xml:space="preserve"> / </w:t>
            </w:r>
            <w:proofErr w:type="spellStart"/>
            <w:r w:rsidRPr="00327D7E">
              <w:rPr>
                <w:rFonts w:ascii="Arial" w:eastAsia="新細明體" w:hAnsi="Arial" w:cs="Arial"/>
                <w:b/>
                <w:bCs/>
                <w:kern w:val="0"/>
                <w:sz w:val="20"/>
                <w:szCs w:val="20"/>
              </w:rPr>
              <w:t>Comprobación</w:t>
            </w:r>
            <w:proofErr w:type="spellEnd"/>
            <w:r w:rsidRPr="00327D7E">
              <w:rPr>
                <w:rFonts w:ascii="Arial" w:eastAsia="新細明體" w:hAnsi="Arial" w:cs="Arial"/>
                <w:b/>
                <w:bCs/>
                <w:kern w:val="0"/>
                <w:sz w:val="20"/>
                <w:szCs w:val="20"/>
              </w:rPr>
              <w:t xml:space="preserve"> de </w:t>
            </w:r>
            <w:proofErr w:type="spellStart"/>
            <w:r w:rsidRPr="00327D7E">
              <w:rPr>
                <w:rFonts w:ascii="Arial" w:eastAsia="新細明體" w:hAnsi="Arial" w:cs="Arial"/>
                <w:b/>
                <w:bCs/>
                <w:kern w:val="0"/>
                <w:sz w:val="20"/>
                <w:szCs w:val="20"/>
              </w:rPr>
              <w:t>Hechos</w:t>
            </w:r>
            <w:proofErr w:type="spellEnd"/>
            <w:r w:rsidRPr="00327D7E">
              <w:rPr>
                <w:rFonts w:ascii="Arial" w:eastAsia="新細明體" w:hAnsi="Arial" w:cs="Arial"/>
                <w:b/>
                <w:bCs/>
                <w:kern w:val="0"/>
                <w:sz w:val="20"/>
                <w:szCs w:val="20"/>
              </w:rPr>
              <w:t>）</w:t>
            </w:r>
            <w:r w:rsidRPr="00327D7E">
              <w:rPr>
                <w:rFonts w:ascii="Arial" w:eastAsia="新細明體" w:hAnsi="Arial" w:cs="Arial"/>
                <w:kern w:val="0"/>
                <w:sz w:val="20"/>
                <w:szCs w:val="20"/>
              </w:rPr>
              <w:t>：這與法、義的突擊扣押類似。原告在起訴前，若有足夠理由懷疑他人</w:t>
            </w:r>
            <w:proofErr w:type="gramStart"/>
            <w:r w:rsidRPr="00327D7E">
              <w:rPr>
                <w:rFonts w:ascii="Arial" w:eastAsia="新細明體" w:hAnsi="Arial" w:cs="Arial"/>
                <w:kern w:val="0"/>
                <w:sz w:val="20"/>
                <w:szCs w:val="20"/>
              </w:rPr>
              <w:t>侵權但缺乏</w:t>
            </w:r>
            <w:proofErr w:type="gramEnd"/>
            <w:r w:rsidRPr="00327D7E">
              <w:rPr>
                <w:rFonts w:ascii="Arial" w:eastAsia="新細明體" w:hAnsi="Arial" w:cs="Arial"/>
                <w:kern w:val="0"/>
                <w:sz w:val="20"/>
                <w:szCs w:val="20"/>
              </w:rPr>
              <w:t>具體證據，可向法院申請由法官帶隊或指派專家，</w:t>
            </w:r>
            <w:r w:rsidRPr="00327D7E">
              <w:rPr>
                <w:rFonts w:ascii="Arial" w:eastAsia="新細明體" w:hAnsi="Arial" w:cs="Arial"/>
                <w:b/>
                <w:bCs/>
                <w:kern w:val="0"/>
                <w:sz w:val="20"/>
                <w:szCs w:val="20"/>
              </w:rPr>
              <w:t>突擊前往被告的工廠、倉庫或營業場所，現場檢驗其設備、製程或產品</w:t>
            </w:r>
            <w:r w:rsidRPr="00327D7E">
              <w:rPr>
                <w:rFonts w:ascii="Arial" w:eastAsia="新細明體" w:hAnsi="Arial" w:cs="Arial"/>
                <w:kern w:val="0"/>
                <w:sz w:val="20"/>
                <w:szCs w:val="20"/>
              </w:rPr>
              <w:t>。被告若拒絕配合，法院在後續訴訟中可直接推定原告的侵權指控成立。</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判定原則（特別重視等同原則的限制）</w:t>
            </w:r>
            <w:r w:rsidRPr="00327D7E">
              <w:rPr>
                <w:rFonts w:ascii="Arial" w:eastAsia="新細明體" w:hAnsi="Arial" w:cs="Arial"/>
                <w:kern w:val="0"/>
                <w:sz w:val="20"/>
                <w:szCs w:val="20"/>
              </w:rPr>
              <w:t>：</w:t>
            </w:r>
          </w:p>
          <w:p w:rsidR="00B80AFA" w:rsidRPr="00B80AFA" w:rsidRDefault="00B80AFA" w:rsidP="00B67052">
            <w:pPr>
              <w:widowControl/>
              <w:numPr>
                <w:ilvl w:val="1"/>
                <w:numId w:val="27"/>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kern w:val="0"/>
                <w:sz w:val="20"/>
                <w:szCs w:val="20"/>
              </w:rPr>
              <w:t>西班牙法院在判定侵權時採用</w:t>
            </w:r>
            <w:proofErr w:type="gramStart"/>
            <w:r w:rsidRPr="00327D7E">
              <w:rPr>
                <w:rFonts w:ascii="Arial" w:eastAsia="新細明體" w:hAnsi="Arial" w:cs="Arial"/>
                <w:kern w:val="0"/>
                <w:sz w:val="20"/>
                <w:szCs w:val="20"/>
              </w:rPr>
              <w:t>文義侵權</w:t>
            </w:r>
            <w:proofErr w:type="gramEnd"/>
            <w:r w:rsidRPr="00327D7E">
              <w:rPr>
                <w:rFonts w:ascii="Arial" w:eastAsia="新細明體" w:hAnsi="Arial" w:cs="Arial"/>
                <w:kern w:val="0"/>
                <w:sz w:val="20"/>
                <w:szCs w:val="20"/>
              </w:rPr>
              <w:t>（</w:t>
            </w:r>
            <w:r w:rsidRPr="00327D7E">
              <w:rPr>
                <w:rFonts w:ascii="Arial" w:eastAsia="新細明體" w:hAnsi="Arial" w:cs="Arial"/>
                <w:kern w:val="0"/>
                <w:sz w:val="20"/>
                <w:szCs w:val="20"/>
              </w:rPr>
              <w:t>Literal Infringement</w:t>
            </w:r>
            <w:r w:rsidRPr="00327D7E">
              <w:rPr>
                <w:rFonts w:ascii="Arial" w:eastAsia="新細明體" w:hAnsi="Arial" w:cs="Arial"/>
                <w:kern w:val="0"/>
                <w:sz w:val="20"/>
                <w:szCs w:val="20"/>
              </w:rPr>
              <w:t>）與等同原則（</w:t>
            </w:r>
            <w:r w:rsidRPr="00327D7E">
              <w:rPr>
                <w:rFonts w:ascii="Arial" w:eastAsia="新細明體" w:hAnsi="Arial" w:cs="Arial"/>
                <w:kern w:val="0"/>
                <w:sz w:val="20"/>
                <w:szCs w:val="20"/>
              </w:rPr>
              <w:t>Doctrine of Equivalents</w:t>
            </w:r>
            <w:r w:rsidRPr="00327D7E">
              <w:rPr>
                <w:rFonts w:ascii="Arial" w:eastAsia="新細明體" w:hAnsi="Arial" w:cs="Arial"/>
                <w:kern w:val="0"/>
                <w:sz w:val="20"/>
                <w:szCs w:val="20"/>
              </w:rPr>
              <w:t>）。</w:t>
            </w:r>
          </w:p>
          <w:p w:rsidR="00B80AFA" w:rsidRPr="00B80AFA" w:rsidRDefault="00B80AFA" w:rsidP="00B67052">
            <w:pPr>
              <w:widowControl/>
              <w:numPr>
                <w:ilvl w:val="1"/>
                <w:numId w:val="27"/>
              </w:numPr>
              <w:ind w:left="0"/>
              <w:rPr>
                <w:rFonts w:ascii="Arial" w:eastAsia="新細明體" w:hAnsi="Arial" w:cs="Arial"/>
                <w:kern w:val="0"/>
                <w:sz w:val="20"/>
                <w:szCs w:val="20"/>
              </w:rPr>
            </w:pPr>
            <w:r w:rsidRPr="00327D7E">
              <w:rPr>
                <w:rFonts w:ascii="Arial" w:eastAsia="新細明體" w:hAnsi="Arial" w:cs="Arial" w:hint="eastAsia"/>
                <w:kern w:val="0"/>
                <w:sz w:val="20"/>
                <w:szCs w:val="20"/>
              </w:rPr>
              <w:t xml:space="preserve">  </w:t>
            </w: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kern w:val="0"/>
                <w:sz w:val="20"/>
                <w:szCs w:val="20"/>
              </w:rPr>
              <w:t>在應用等同原則時，西班牙法院非常強調</w:t>
            </w:r>
            <w:r w:rsidRPr="00327D7E">
              <w:rPr>
                <w:rFonts w:ascii="Arial" w:eastAsia="新細明體" w:hAnsi="Arial" w:cs="Arial"/>
                <w:b/>
                <w:bCs/>
                <w:kern w:val="0"/>
                <w:sz w:val="20"/>
                <w:szCs w:val="20"/>
              </w:rPr>
              <w:t>「申請歷史</w:t>
            </w:r>
            <w:proofErr w:type="gramStart"/>
            <w:r w:rsidRPr="00327D7E">
              <w:rPr>
                <w:rFonts w:ascii="Arial" w:eastAsia="新細明體" w:hAnsi="Arial" w:cs="Arial"/>
                <w:b/>
                <w:bCs/>
                <w:kern w:val="0"/>
                <w:sz w:val="20"/>
                <w:szCs w:val="20"/>
              </w:rPr>
              <w:t>禁反言</w:t>
            </w:r>
            <w:proofErr w:type="gramEnd"/>
            <w:r w:rsidRPr="00327D7E">
              <w:rPr>
                <w:rFonts w:ascii="Arial" w:eastAsia="新細明體" w:hAnsi="Arial" w:cs="Arial"/>
                <w:b/>
                <w:bCs/>
                <w:kern w:val="0"/>
                <w:sz w:val="20"/>
                <w:szCs w:val="20"/>
              </w:rPr>
              <w:t>」（</w:t>
            </w:r>
            <w:r w:rsidRPr="00327D7E">
              <w:rPr>
                <w:rFonts w:ascii="Arial" w:eastAsia="新細明體" w:hAnsi="Arial" w:cs="Arial"/>
                <w:b/>
                <w:bCs/>
                <w:kern w:val="0"/>
                <w:sz w:val="20"/>
                <w:szCs w:val="20"/>
              </w:rPr>
              <w:t>File Wrapper Estoppel</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，亦即發明人在申請階段為了迎合審查委員而限縮的權利範圍，在侵權訴訟中絕不能再透過等同原則主張要回。</w:t>
            </w:r>
          </w:p>
          <w:p w:rsidR="00B80AFA" w:rsidRPr="00B80AFA"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跨境防禦：</w:t>
            </w:r>
            <w:proofErr w:type="gramStart"/>
            <w:r w:rsidRPr="00327D7E">
              <w:rPr>
                <w:rFonts w:ascii="Arial" w:eastAsia="新細明體" w:hAnsi="Arial" w:cs="Arial"/>
                <w:b/>
                <w:bCs/>
                <w:kern w:val="0"/>
                <w:sz w:val="20"/>
                <w:szCs w:val="20"/>
              </w:rPr>
              <w:t>不參予</w:t>
            </w:r>
            <w:proofErr w:type="gramEnd"/>
            <w:r w:rsidRPr="00327D7E">
              <w:rPr>
                <w:rFonts w:ascii="Arial" w:eastAsia="新細明體" w:hAnsi="Arial" w:cs="Arial"/>
                <w:b/>
                <w:bCs/>
                <w:kern w:val="0"/>
                <w:sz w:val="20"/>
                <w:szCs w:val="20"/>
              </w:rPr>
              <w:t>統一專利法院（</w:t>
            </w:r>
            <w:r w:rsidRPr="00327D7E">
              <w:rPr>
                <w:rFonts w:ascii="Arial" w:eastAsia="新細明體" w:hAnsi="Arial" w:cs="Arial"/>
                <w:b/>
                <w:bCs/>
                <w:kern w:val="0"/>
                <w:sz w:val="20"/>
                <w:szCs w:val="20"/>
              </w:rPr>
              <w:t>UPC</w:t>
            </w:r>
            <w:r w:rsidRPr="00327D7E">
              <w:rPr>
                <w:rFonts w:ascii="Arial" w:eastAsia="新細明體" w:hAnsi="Arial" w:cs="Arial"/>
                <w:b/>
                <w:bCs/>
                <w:kern w:val="0"/>
                <w:sz w:val="20"/>
                <w:szCs w:val="20"/>
              </w:rPr>
              <w:t>）</w:t>
            </w:r>
            <w:r w:rsidRPr="00327D7E">
              <w:rPr>
                <w:rFonts w:ascii="Arial" w:eastAsia="新細明體" w:hAnsi="Arial" w:cs="Arial"/>
                <w:kern w:val="0"/>
                <w:sz w:val="20"/>
                <w:szCs w:val="20"/>
              </w:rPr>
              <w:t>：西班牙出於語言政策與主權考量，</w:t>
            </w:r>
            <w:r w:rsidRPr="00327D7E">
              <w:rPr>
                <w:rFonts w:ascii="Arial" w:eastAsia="新細明體" w:hAnsi="Arial" w:cs="Arial"/>
                <w:b/>
                <w:bCs/>
                <w:kern w:val="0"/>
                <w:sz w:val="20"/>
                <w:szCs w:val="20"/>
              </w:rPr>
              <w:t>至今仍拒絕加入歐洲「單一專利（</w:t>
            </w:r>
            <w:r w:rsidRPr="00327D7E">
              <w:rPr>
                <w:rFonts w:ascii="Arial" w:eastAsia="新細明體" w:hAnsi="Arial" w:cs="Arial"/>
                <w:b/>
                <w:bCs/>
                <w:kern w:val="0"/>
                <w:sz w:val="20"/>
                <w:szCs w:val="20"/>
              </w:rPr>
              <w:t>Unitary Patent, UP</w:t>
            </w:r>
            <w:r w:rsidRPr="00327D7E">
              <w:rPr>
                <w:rFonts w:ascii="Arial" w:eastAsia="新細明體" w:hAnsi="Arial" w:cs="Arial"/>
                <w:b/>
                <w:bCs/>
                <w:kern w:val="0"/>
                <w:sz w:val="20"/>
                <w:szCs w:val="20"/>
              </w:rPr>
              <w:t>）」及「統一專利法院（</w:t>
            </w:r>
            <w:r w:rsidRPr="00327D7E">
              <w:rPr>
                <w:rFonts w:ascii="Arial" w:eastAsia="新細明體" w:hAnsi="Arial" w:cs="Arial"/>
                <w:b/>
                <w:bCs/>
                <w:kern w:val="0"/>
                <w:sz w:val="20"/>
                <w:szCs w:val="20"/>
              </w:rPr>
              <w:t>UPC</w:t>
            </w:r>
            <w:r w:rsidRPr="00327D7E">
              <w:rPr>
                <w:rFonts w:ascii="Arial" w:eastAsia="新細明體" w:hAnsi="Arial" w:cs="Arial"/>
                <w:b/>
                <w:bCs/>
                <w:kern w:val="0"/>
                <w:sz w:val="20"/>
                <w:szCs w:val="20"/>
              </w:rPr>
              <w:t>）」制度</w:t>
            </w:r>
            <w:r w:rsidRPr="00327D7E">
              <w:rPr>
                <w:rFonts w:ascii="Arial" w:eastAsia="新細明體" w:hAnsi="Arial" w:cs="Arial"/>
                <w:kern w:val="0"/>
                <w:sz w:val="20"/>
                <w:szCs w:val="20"/>
              </w:rPr>
              <w:t>。因此，任何歐洲專利（</w:t>
            </w:r>
            <w:r w:rsidRPr="00327D7E">
              <w:rPr>
                <w:rFonts w:ascii="Arial" w:eastAsia="新細明體" w:hAnsi="Arial" w:cs="Arial"/>
                <w:kern w:val="0"/>
                <w:sz w:val="20"/>
                <w:szCs w:val="20"/>
              </w:rPr>
              <w:t>EP</w:t>
            </w:r>
            <w:r w:rsidRPr="00327D7E">
              <w:rPr>
                <w:rFonts w:ascii="Arial" w:eastAsia="新細明體" w:hAnsi="Arial" w:cs="Arial"/>
                <w:kern w:val="0"/>
                <w:sz w:val="20"/>
                <w:szCs w:val="20"/>
              </w:rPr>
              <w:t>）若要在西班牙生效，必須單獨辦理西班牙國家階段翻譯與登記；若要在西班牙打專利官司，也必須透過西班牙本土法院，不受</w:t>
            </w:r>
            <w:r w:rsidRPr="00327D7E">
              <w:rPr>
                <w:rFonts w:ascii="Arial" w:eastAsia="新細明體" w:hAnsi="Arial" w:cs="Arial"/>
                <w:kern w:val="0"/>
                <w:sz w:val="20"/>
                <w:szCs w:val="20"/>
              </w:rPr>
              <w:t xml:space="preserve"> UPC </w:t>
            </w:r>
            <w:r w:rsidRPr="00327D7E">
              <w:rPr>
                <w:rFonts w:ascii="Arial" w:eastAsia="新細明體" w:hAnsi="Arial" w:cs="Arial"/>
                <w:kern w:val="0"/>
                <w:sz w:val="20"/>
                <w:szCs w:val="20"/>
              </w:rPr>
              <w:t>判決</w:t>
            </w:r>
            <w:r w:rsidRPr="00327D7E">
              <w:rPr>
                <w:rFonts w:ascii="Arial" w:eastAsia="新細明體" w:hAnsi="Arial" w:cs="Arial"/>
                <w:kern w:val="0"/>
                <w:sz w:val="20"/>
                <w:szCs w:val="20"/>
              </w:rPr>
              <w:lastRenderedPageBreak/>
              <w:t>的直接管轄。</w:t>
            </w:r>
          </w:p>
          <w:p w:rsidR="00061066" w:rsidRPr="00327D7E" w:rsidRDefault="00B80AFA" w:rsidP="00B67052">
            <w:pPr>
              <w:widowControl/>
              <w:numPr>
                <w:ilvl w:val="0"/>
                <w:numId w:val="27"/>
              </w:numPr>
              <w:ind w:left="0"/>
              <w:rPr>
                <w:rFonts w:ascii="Arial" w:eastAsia="新細明體" w:hAnsi="Arial" w:cs="Arial"/>
                <w:kern w:val="0"/>
                <w:sz w:val="20"/>
                <w:szCs w:val="20"/>
              </w:rPr>
            </w:pPr>
            <w:r w:rsidRPr="00326595">
              <w:rPr>
                <w:rFonts w:ascii="新細明體" w:eastAsia="新細明體" w:hAnsi="Symbol" w:cs="新細明體"/>
                <w:kern w:val="0"/>
                <w:sz w:val="20"/>
                <w:szCs w:val="20"/>
              </w:rPr>
              <w:t></w:t>
            </w:r>
            <w:r w:rsidRPr="00327D7E">
              <w:rPr>
                <w:rFonts w:ascii="新細明體" w:eastAsia="新細明體" w:hAnsi="Symbol" w:cs="新細明體" w:hint="eastAsia"/>
                <w:kern w:val="0"/>
                <w:sz w:val="20"/>
                <w:szCs w:val="20"/>
              </w:rPr>
              <w:t xml:space="preserve"> </w:t>
            </w:r>
            <w:r w:rsidRPr="00327D7E">
              <w:rPr>
                <w:rFonts w:ascii="Arial" w:eastAsia="新細明體" w:hAnsi="Arial" w:cs="Arial"/>
                <w:b/>
                <w:bCs/>
                <w:kern w:val="0"/>
                <w:sz w:val="20"/>
                <w:szCs w:val="20"/>
              </w:rPr>
              <w:t>消滅時效</w:t>
            </w:r>
            <w:r w:rsidRPr="00327D7E">
              <w:rPr>
                <w:rFonts w:ascii="Arial" w:eastAsia="新細明體" w:hAnsi="Arial" w:cs="Arial"/>
                <w:kern w:val="0"/>
                <w:sz w:val="20"/>
                <w:szCs w:val="20"/>
              </w:rPr>
              <w:t>：專利侵權損害賠償的請求權時效，自權利人「可以依據法律主張該權利」之日起算</w:t>
            </w:r>
            <w:r w:rsidRPr="00327D7E">
              <w:rPr>
                <w:rFonts w:ascii="Arial" w:eastAsia="新細明體" w:hAnsi="Arial" w:cs="Arial"/>
                <w:kern w:val="0"/>
                <w:sz w:val="20"/>
                <w:szCs w:val="20"/>
              </w:rPr>
              <w:t xml:space="preserve"> </w:t>
            </w:r>
            <w:r w:rsidRPr="00327D7E">
              <w:rPr>
                <w:rFonts w:ascii="Arial" w:eastAsia="新細明體" w:hAnsi="Arial" w:cs="Arial"/>
                <w:b/>
                <w:bCs/>
                <w:kern w:val="0"/>
                <w:sz w:val="20"/>
                <w:szCs w:val="20"/>
              </w:rPr>
              <w:t xml:space="preserve">5 </w:t>
            </w:r>
            <w:r w:rsidRPr="00327D7E">
              <w:rPr>
                <w:rFonts w:ascii="Arial" w:eastAsia="新細明體" w:hAnsi="Arial" w:cs="Arial"/>
                <w:b/>
                <w:bCs/>
                <w:kern w:val="0"/>
                <w:sz w:val="20"/>
                <w:szCs w:val="20"/>
              </w:rPr>
              <w:t>年</w:t>
            </w:r>
            <w:r w:rsidRPr="00327D7E">
              <w:rPr>
                <w:rFonts w:ascii="Arial" w:eastAsia="新細明體" w:hAnsi="Arial" w:cs="Arial"/>
                <w:kern w:val="0"/>
                <w:sz w:val="20"/>
                <w:szCs w:val="20"/>
              </w:rPr>
              <w:t>。</w:t>
            </w:r>
          </w:p>
        </w:tc>
      </w:tr>
    </w:tbl>
    <w:p w:rsidR="00061066" w:rsidRPr="00327D7E" w:rsidRDefault="00061066">
      <w:pPr>
        <w:widowControl/>
        <w:rPr>
          <w:sz w:val="20"/>
          <w:szCs w:val="20"/>
        </w:rPr>
      </w:pPr>
    </w:p>
    <w:sectPr w:rsidR="00061066" w:rsidRPr="00327D7E"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207493"/>
    <w:rsid w:val="00221986"/>
    <w:rsid w:val="002268FE"/>
    <w:rsid w:val="002614B9"/>
    <w:rsid w:val="00281ED7"/>
    <w:rsid w:val="002B2418"/>
    <w:rsid w:val="00304F0E"/>
    <w:rsid w:val="00311A04"/>
    <w:rsid w:val="00326595"/>
    <w:rsid w:val="00327D7E"/>
    <w:rsid w:val="00335F1C"/>
    <w:rsid w:val="00335FF7"/>
    <w:rsid w:val="00351403"/>
    <w:rsid w:val="0038473A"/>
    <w:rsid w:val="003934F9"/>
    <w:rsid w:val="003A72A6"/>
    <w:rsid w:val="003D135A"/>
    <w:rsid w:val="003F0011"/>
    <w:rsid w:val="00405226"/>
    <w:rsid w:val="00450DED"/>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676B4"/>
    <w:rsid w:val="007B3EB0"/>
    <w:rsid w:val="007C4A0E"/>
    <w:rsid w:val="007E4ADC"/>
    <w:rsid w:val="007F7E9A"/>
    <w:rsid w:val="00800831"/>
    <w:rsid w:val="00832E41"/>
    <w:rsid w:val="00861D0B"/>
    <w:rsid w:val="00871FC8"/>
    <w:rsid w:val="0087452E"/>
    <w:rsid w:val="0087517A"/>
    <w:rsid w:val="00883F16"/>
    <w:rsid w:val="008D1B6E"/>
    <w:rsid w:val="008F4EE6"/>
    <w:rsid w:val="0092228A"/>
    <w:rsid w:val="0097671F"/>
    <w:rsid w:val="00976859"/>
    <w:rsid w:val="009874D8"/>
    <w:rsid w:val="009E242B"/>
    <w:rsid w:val="009F73AC"/>
    <w:rsid w:val="00A21A77"/>
    <w:rsid w:val="00A24D8F"/>
    <w:rsid w:val="00A31B11"/>
    <w:rsid w:val="00A323F0"/>
    <w:rsid w:val="00A377C6"/>
    <w:rsid w:val="00AE0F46"/>
    <w:rsid w:val="00AF652F"/>
    <w:rsid w:val="00B1669C"/>
    <w:rsid w:val="00B312BB"/>
    <w:rsid w:val="00B63ACC"/>
    <w:rsid w:val="00B67052"/>
    <w:rsid w:val="00B67EFB"/>
    <w:rsid w:val="00B75DE5"/>
    <w:rsid w:val="00B8067C"/>
    <w:rsid w:val="00B80AFA"/>
    <w:rsid w:val="00BA3845"/>
    <w:rsid w:val="00BB209B"/>
    <w:rsid w:val="00BB50E0"/>
    <w:rsid w:val="00C9490D"/>
    <w:rsid w:val="00CF5C39"/>
    <w:rsid w:val="00D222AA"/>
    <w:rsid w:val="00D65FB0"/>
    <w:rsid w:val="00D97121"/>
    <w:rsid w:val="00DB7E6F"/>
    <w:rsid w:val="00DC2B0F"/>
    <w:rsid w:val="00DC65BD"/>
    <w:rsid w:val="00DF138F"/>
    <w:rsid w:val="00E031AE"/>
    <w:rsid w:val="00E143F6"/>
    <w:rsid w:val="00E333F6"/>
    <w:rsid w:val="00E4178B"/>
    <w:rsid w:val="00EE1147"/>
    <w:rsid w:val="00EF323B"/>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7676B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7676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oepm.es/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4FC30C-9EE9-4003-86E5-662CE316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2026-08-05T00:46:00Z</dcterms:created>
  <dcterms:modified xsi:type="dcterms:W3CDTF">2026-09-04T02:59:00Z</dcterms:modified>
</cp:coreProperties>
</file>