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D7E" w:rsidRPr="00327D7E" w:rsidRDefault="00327D7E" w:rsidP="0092228A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阿聯</w:t>
      </w:r>
      <w:proofErr w:type="gramStart"/>
      <w:r w:rsidRPr="00327D7E">
        <w:rPr>
          <w:sz w:val="20"/>
          <w:szCs w:val="20"/>
        </w:rPr>
        <w:t>酋</w:t>
      </w:r>
      <w:proofErr w:type="gramEnd"/>
      <w:r w:rsidR="00536559">
        <w:rPr>
          <w:rFonts w:hint="eastAsia"/>
          <w:sz w:val="20"/>
          <w:szCs w:val="20"/>
        </w:rPr>
        <w:t>(</w:t>
      </w:r>
      <w:r w:rsidR="00311A04">
        <w:rPr>
          <w:rFonts w:hint="eastAsia"/>
          <w:sz w:val="20"/>
          <w:szCs w:val="20"/>
        </w:rPr>
        <w:t>UAE</w:t>
      </w:r>
      <w:r w:rsidR="00536559">
        <w:rPr>
          <w:rFonts w:hint="eastAsia"/>
          <w:sz w:val="20"/>
          <w:szCs w:val="20"/>
        </w:rPr>
        <w:t>)</w:t>
      </w:r>
      <w:r w:rsidR="00536559">
        <w:rPr>
          <w:rFonts w:hint="eastAsia"/>
          <w:sz w:val="20"/>
          <w:szCs w:val="20"/>
        </w:rPr>
        <w:t>專利</w:t>
      </w:r>
    </w:p>
    <w:p w:rsidR="00A8155E" w:rsidRPr="00AE58A4" w:rsidRDefault="00AE58A4" w:rsidP="00AE58A4">
      <w:pPr>
        <w:jc w:val="center"/>
        <w:rPr>
          <w:sz w:val="20"/>
          <w:szCs w:val="20"/>
        </w:rPr>
      </w:pPr>
      <w:r>
        <w:rPr>
          <w:rFonts w:hint="eastAsia"/>
        </w:rPr>
        <w:t>MOET</w:t>
      </w:r>
      <w:r w:rsidR="0092228A" w:rsidRPr="00327D7E">
        <w:rPr>
          <w:rFonts w:hint="eastAsia"/>
          <w:sz w:val="20"/>
          <w:szCs w:val="20"/>
        </w:rPr>
        <w:t>網址：</w:t>
      </w:r>
      <w:r w:rsidR="00A8155E">
        <w:rPr>
          <w:sz w:val="20"/>
          <w:szCs w:val="20"/>
        </w:rPr>
        <w:fldChar w:fldCharType="begin"/>
      </w:r>
      <w:r w:rsidR="00A8155E">
        <w:rPr>
          <w:sz w:val="20"/>
          <w:szCs w:val="20"/>
        </w:rPr>
        <w:instrText xml:space="preserve"> HYPERLINK "</w:instrText>
      </w:r>
      <w:r w:rsidR="00A8155E" w:rsidRPr="00A8155E">
        <w:rPr>
          <w:sz w:val="20"/>
          <w:szCs w:val="20"/>
        </w:rPr>
        <w:instrText>https://services.economy.ae/m/Pages/CategoryServices.aspx?CategoryID=14</w:instrText>
      </w:r>
      <w:r w:rsidR="00A8155E">
        <w:rPr>
          <w:sz w:val="20"/>
          <w:szCs w:val="20"/>
        </w:rPr>
        <w:instrText xml:space="preserve">" </w:instrText>
      </w:r>
      <w:r w:rsidR="00A8155E">
        <w:rPr>
          <w:sz w:val="20"/>
          <w:szCs w:val="20"/>
        </w:rPr>
        <w:fldChar w:fldCharType="separate"/>
      </w:r>
      <w:r w:rsidR="00A8155E" w:rsidRPr="00E65072">
        <w:rPr>
          <w:rStyle w:val="a6"/>
          <w:sz w:val="20"/>
          <w:szCs w:val="20"/>
        </w:rPr>
        <w:t>https://services.economy.ae/m/Pages/CategoryServices.aspx?CategoryID=14</w:t>
      </w:r>
      <w:r w:rsidR="00A8155E">
        <w:rPr>
          <w:sz w:val="20"/>
          <w:szCs w:val="20"/>
        </w:rPr>
        <w:fldChar w:fldCharType="end"/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92228A" w:rsidRPr="00327D7E" w:rsidTr="0038473A">
        <w:tc>
          <w:tcPr>
            <w:tcW w:w="416" w:type="dxa"/>
            <w:vAlign w:val="center"/>
          </w:tcPr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（委託國際機構聯檢）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具備新穎性、進步性與產業利用性的全新技術產品或方法。</w:t>
                  </w:r>
                </w:p>
              </w:tc>
            </w:tr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（免去實體進步性審查）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創新程度稍低、未達發明高度，但具備實用性改良的實體產品或構造。</w:t>
                  </w:r>
                </w:p>
              </w:tc>
            </w:tr>
            <w:tr w:rsidR="00327D7E" w:rsidRPr="00327D7E" w:rsidTr="00327D7E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（修法後保護年限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由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年拉長至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327D7E" w:rsidRPr="00327D7E" w:rsidRDefault="00327D7E" w:rsidP="00327D7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產品全部或部分由外形、圖案、線條、色彩組成的創新視覺特徵（含數位介面）。</w:t>
                  </w:r>
                </w:p>
              </w:tc>
            </w:tr>
          </w:tbl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92228A" w:rsidRPr="00327D7E" w:rsidTr="0038473A">
        <w:tc>
          <w:tcPr>
            <w:tcW w:w="416" w:type="dxa"/>
            <w:vAlign w:val="center"/>
          </w:tcPr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委外實體審查機制（與韓國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中國等國合作）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經濟部為了克服內部技術審查人員不足的問題，與韓國專利廳（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KIPO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）、中國國家知識產權局（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CNIPA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）以及歐洲專利局（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EPO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）簽有密切的審查合作協議。阿聯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國家案的檢索與實體審查，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實務上多直接由這些國際一流專利局的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審查員代為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執行並出具報告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，審查標準完全與國際對齊。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工業設計保護期大幅拉長至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：根據新法實施的新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對工業設計的保護力度躍居全球前列，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保護期限由過往的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年直接拉長一倍至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，並引進了快速登記公告機制，大幅利於時尚、消費性電子與汽車外觀在當地的保護。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發明與新型可互相轉換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：申請案在形式或實體審查階段，如果申請人預見發明專利可能因進步性不足而遭到拒絕，可以在官方發出最終決定前，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申請將發明專利「轉換（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Conversion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）」為新型專利（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Utility Certificate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，以保留其原始優先權日。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包含「發明人自己或其授權者」主動公開、展出或發表該技術的行為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。只要在首次公開之日起算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經濟部提交申請，皆不會破壞其新穎性。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雙語提交與雙重翻譯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：外國申請人在阿聯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提交專利時，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必須強制同時提交「英文」與「阿拉伯文」兩種語言的說明書與權利要求書（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。由於阿聯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官方主要以英文審查文件，而當地法院訴訟則強制使用阿拉伯文，兩者翻譯的精確度與一致性極其重要。</w:t>
            </w:r>
          </w:p>
          <w:p w:rsidR="0092228A" w:rsidRPr="00327D7E" w:rsidRDefault="00327D7E" w:rsidP="00B67052">
            <w:pPr>
              <w:widowControl/>
              <w:numPr>
                <w:ilvl w:val="0"/>
                <w:numId w:val="4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強制委託本地合法代理與領事認證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：外國人必須強制委託具有阿聯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酋阿布達比或杜拜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合法執照的註冊智財代理機構辦理。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提交的法人委任書（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POA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）等文件，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必須強制經過阿聯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駐外大使館的「領事認證（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Legalization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，這項行政手續較為繁瑣且規費高昂。</w:t>
            </w:r>
          </w:p>
        </w:tc>
      </w:tr>
      <w:tr w:rsidR="0092228A" w:rsidRPr="00327D7E" w:rsidTr="0038473A">
        <w:tc>
          <w:tcPr>
            <w:tcW w:w="416" w:type="dxa"/>
            <w:vAlign w:val="center"/>
          </w:tcPr>
          <w:p w:rsidR="0092228A" w:rsidRPr="00327D7E" w:rsidRDefault="0092228A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法院訴訟與經濟部（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MoE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）行政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雙軌維權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在打擊侵權上提供靈活的雙軌管道：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行政申訴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：權利人可直接向阿聯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經濟部（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MoE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）內設的專責委員會提起行政投訴，委員會可在幾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週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內迅速調查，並發出停止侵權命令、沒收產品並處以行政罰鍰。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：若要請求鉅額損害賠償，則須向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阿聯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或杜拜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、阿布達比的當地民事法院提起訴訟。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判定原則（特別重視字面文義與全要件）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法院在判定技術侵權時，極度遵循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，逐一比對被告產品是否具備專利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中的每一個字面特徵。</w:t>
            </w:r>
          </w:p>
          <w:p w:rsidR="00327D7E" w:rsidRPr="00327D7E" w:rsidRDefault="00327D7E" w:rsidP="00B67052">
            <w:pPr>
              <w:widowControl/>
              <w:numPr>
                <w:ilvl w:val="1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對於等同原則（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），由於阿聯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屬於大陸法系體系，法官在沒有明確條文規定下，對「等同侵權」的判定持非常謹慎、甚至機械化的態度。若被告產品更改了非核心結構或使用了替代手段，原告面臨的技術比對舉證壓力非常高。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高效率的刑事與民事突擊扣押（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Preservation Case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：雖然等同判定保守，但阿聯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法院在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保全證據（先行取證）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上效率極高。原告在正式提起民事訴訟前，可以向法院申請假處分，由法官指派獨立技術專家，在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警察與執達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吏的陪同下，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突擊前往被告位於杜拜自由貿易區或當地的倉庫、工廠，直接「現場錄影、清點並查封扣押」涉嫌侵權的產品與銷售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，防止被告隱匿證據。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懲罰性損害賠償之缺乏與損害估算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：被判定侵權成立時，法院會判處永久禁令與實際損害賠償。損害賠償的計算多以「權利人所受的實質營業損失」或「侵權人的非法利潤」為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準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。但阿聯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法律目前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不適用英美法系的懲罰性三倍賠償（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Punitive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327D7E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海關邊境備案高強度攔截（以杜拜最為發達）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：阿聯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各大海關（尤其是中東最大的杜拜港與自由貿易區海關）擁有非常成熟的智慧財產權海關備案系統。專利與設計在獲證後可直接向海關登記。一旦海關在邊境查獲涉嫌侵權、過境或轉口的仿冒貨物，會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主動通知權利人配合鑑定並就地扣留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，是防堵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海外侵權品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流入中東的樞紐防線。</w:t>
            </w:r>
          </w:p>
          <w:p w:rsidR="0092228A" w:rsidRPr="00327D7E" w:rsidRDefault="00327D7E" w:rsidP="00B67052">
            <w:pPr>
              <w:widowControl/>
              <w:numPr>
                <w:ilvl w:val="0"/>
                <w:numId w:val="4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：專利侵權損害賠償的民事請求權時效，通常為自權利人「知悉侵權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行為及侵權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57317"/>
    <w:rsid w:val="00180C6A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570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40DD4"/>
    <w:rsid w:val="00A8155E"/>
    <w:rsid w:val="00AE0F46"/>
    <w:rsid w:val="00AE58A4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E47AD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AE58A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AE58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DC979-A365-4A3D-92AA-CF5471B9D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2026-08-05T00:52:00Z</dcterms:created>
  <dcterms:modified xsi:type="dcterms:W3CDTF">2026-09-04T03:21:00Z</dcterms:modified>
</cp:coreProperties>
</file>