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066" w:rsidRPr="00327D7E" w:rsidRDefault="006B1F6B" w:rsidP="0006106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馬來西亞</w:t>
      </w:r>
      <w:r w:rsidR="00536559">
        <w:rPr>
          <w:rFonts w:hint="eastAsia"/>
          <w:sz w:val="20"/>
          <w:szCs w:val="20"/>
        </w:rPr>
        <w:t>專利</w:t>
      </w:r>
    </w:p>
    <w:p w:rsidR="00354045" w:rsidRPr="004B7133" w:rsidRDefault="00FC24E6" w:rsidP="00061066">
      <w:pPr>
        <w:jc w:val="center"/>
        <w:rPr>
          <w:sz w:val="20"/>
          <w:szCs w:val="20"/>
        </w:rPr>
      </w:pPr>
      <w:proofErr w:type="spellStart"/>
      <w:r w:rsidRPr="004B7133">
        <w:rPr>
          <w:sz w:val="20"/>
          <w:szCs w:val="20"/>
        </w:rPr>
        <w:t>MyIPO</w:t>
      </w:r>
      <w:proofErr w:type="spellEnd"/>
      <w:r w:rsidRPr="004B7133">
        <w:rPr>
          <w:rFonts w:hint="eastAsia"/>
          <w:sz w:val="20"/>
          <w:szCs w:val="20"/>
        </w:rPr>
        <w:t xml:space="preserve"> </w:t>
      </w:r>
      <w:r w:rsidR="00061066" w:rsidRPr="004B7133">
        <w:rPr>
          <w:rFonts w:hint="eastAsia"/>
          <w:sz w:val="20"/>
          <w:szCs w:val="20"/>
        </w:rPr>
        <w:t>網址：</w:t>
      </w:r>
      <w:r w:rsidR="00354045">
        <w:rPr>
          <w:sz w:val="20"/>
          <w:szCs w:val="20"/>
        </w:rPr>
        <w:fldChar w:fldCharType="begin"/>
      </w:r>
      <w:r w:rsidR="00354045">
        <w:rPr>
          <w:sz w:val="20"/>
          <w:szCs w:val="20"/>
        </w:rPr>
        <w:instrText xml:space="preserve"> HYPERLINK "</w:instrText>
      </w:r>
      <w:r w:rsidR="00354045" w:rsidRPr="00354045">
        <w:rPr>
          <w:sz w:val="20"/>
          <w:szCs w:val="20"/>
        </w:rPr>
        <w:instrText>https://iponline2u.myipo.gov.my/</w:instrText>
      </w:r>
      <w:r w:rsidR="00354045">
        <w:rPr>
          <w:sz w:val="20"/>
          <w:szCs w:val="20"/>
        </w:rPr>
        <w:instrText xml:space="preserve">" </w:instrText>
      </w:r>
      <w:r w:rsidR="00354045">
        <w:rPr>
          <w:sz w:val="20"/>
          <w:szCs w:val="20"/>
        </w:rPr>
        <w:fldChar w:fldCharType="separate"/>
      </w:r>
      <w:r w:rsidR="00354045" w:rsidRPr="0047012A">
        <w:rPr>
          <w:rStyle w:val="a6"/>
          <w:sz w:val="20"/>
          <w:szCs w:val="20"/>
        </w:rPr>
        <w:t>https://iponline2u.myipo.gov.my/</w:t>
      </w:r>
      <w:r w:rsidR="00354045">
        <w:rPr>
          <w:sz w:val="20"/>
          <w:szCs w:val="20"/>
        </w:rPr>
        <w:fldChar w:fldCharType="end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D97121" w:rsidRPr="00327D7E" w:rsidTr="00D97121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D9712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D9712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D97121" w:rsidRPr="00327D7E" w:rsidTr="00D97121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實體審查制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（含新穎性、進步性與產業利用性）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具備新穎性、進步性與產業利用性的技術產品或方法（製程）。</w:t>
                  </w:r>
                </w:p>
              </w:tc>
            </w:tr>
            <w:tr w:rsidR="00D97121" w:rsidRPr="00327D7E" w:rsidTr="00D97121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實用創新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即新型專利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（期滿可分兩次展延，每次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5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年，最長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形式與個別實體審查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不審查進步性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，僅審查新穎性與產業利用性）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任何能用於產業的全新物品、改良或產品（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排除「方法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製程」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  <w:tr w:rsidR="00D97121" w:rsidRPr="00327D7E" w:rsidTr="00D97121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4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形式審查制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透過工業程序應用於物品上的形狀、構造、圖案或裝飾等外觀特徵。</w:t>
                  </w:r>
                </w:p>
              </w:tc>
            </w:tr>
          </w:tbl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新制：全面引入核准後異議（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2025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年底啟用）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：根據最新生效的修正案，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任何利害關係人可在專利獲證公告後的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6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月內，向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MyIPO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註冊官提出「核准後異議（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Post-Grant Opposition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。這是重大的制度升級，讓第三方在進入法院前，有更低成本的管道直接行政撤銷瑕疵專利。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實用創新（新型）期限長、限制多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D97121" w:rsidRPr="00D97121" w:rsidRDefault="00D97121" w:rsidP="00D97121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</w:t>
            </w: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與多數國家不同，馬來西亞的實用創新若持續有商業使用並繳納年費，最長可展延至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20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，年限與發明專利相同。</w:t>
            </w:r>
          </w:p>
          <w:p w:rsidR="00D97121" w:rsidRPr="00D97121" w:rsidRDefault="00D97121" w:rsidP="00D97121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特別注意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：實用創新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只能保護實體「產品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物品」，絕對不保護「方法或製程」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，且每件申請案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只能包含「一項權利要求（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Single Claim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發明與實用創新的互換機制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：申請人在審查過程中或收到檢索報告後，若發現發明專利的進步性不足，可在規定期限內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申請將發明專利「轉換」為實用創新申請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（反之亦然）。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放寬公眾審查與第三方意見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：新修法擴大了專利申請案公開後的透明度，允許公眾更早查閱檢索與審查文件，並在專利核准前向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MyIPO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提交第三方意見（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Observations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）以阻擋其獲證。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新穎性優惠期（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：提供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的新穎性優惠期，但僅限於「因申請人或其前手的公開行為（如發表、展出）」或「因第三方濫用、惡意洩密」所導致的公開。</w:t>
            </w:r>
          </w:p>
          <w:p w:rsidR="00061066" w:rsidRPr="00327D7E" w:rsidRDefault="00D97121" w:rsidP="00D97121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</w:t>
            </w:r>
            <w:r w:rsidR="002C7F4D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託</w:t>
            </w:r>
            <w:bookmarkStart w:id="0" w:name="_GoBack"/>
            <w:bookmarkEnd w:id="0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本地代理人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：外國申請人若在馬來西亞沒有常住地址或主要營業場所，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必須強制委託馬來西亞當地的註冊專利代理人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MyIPO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事務。</w:t>
            </w: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智慧財產權專責法庭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：馬來西亞設有專門的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智慧財產權高等法院（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Specialised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IP High Court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，負責審理一審的專利侵權與民事無效訴訟，法官在處理複雜的技術比對與國際專利法律上具有高度專業。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判定原則（特別重視字面文義與全要件）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D97121" w:rsidRPr="00D97121" w:rsidRDefault="00D97121" w:rsidP="00B67052">
            <w:pPr>
              <w:widowControl/>
              <w:numPr>
                <w:ilvl w:val="0"/>
                <w:numId w:val="2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馬來西亞法院在判定侵權時，首要依據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，檢視涉嫌侵權產品是否完全落入專利權利要求（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Claims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）的邊界。</w:t>
            </w:r>
          </w:p>
          <w:p w:rsidR="00D97121" w:rsidRPr="00D97121" w:rsidRDefault="00D97121" w:rsidP="00B67052">
            <w:pPr>
              <w:widowControl/>
              <w:numPr>
                <w:ilvl w:val="0"/>
                <w:numId w:val="2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雖然馬來西亞司法判例承認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 / Pith and Marrow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，但法院的態度相對嚴謹，通常只有在被控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侵權物對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非本質特徵（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Non-essential features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）進行了微小替代、且未改變發明實質運作方式時，才會判定等同侵權。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異議程序與民事訴訟的競合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：在新制下，若第三人欲向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MyIPO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提出行政異議，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前提必須是該專利尚未在高等法院展開任何相關訴訟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。一旦侵權官司已經開打，無效宣告就必須在法院以反訴（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Counterclaim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）形式提出。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行政執法分工（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KPDN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突擊檢查）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：雖然專利損害賠償必須透過民事法院，但馬來西亞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國內貿易及生活消費部（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KPDN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）的執法局（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Enforcement Division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擁有刑事查緝權。在商標或工業設計侵權中，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KPDN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的執法相當迅速；但對於複雜的「專利技術侵權」，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KPDN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通常較為被動，仍會要求權利人先取得高等法院的禁令或聲明。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lastRenderedPageBreak/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非居民提起訴訟的擔保要求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：在外國專利權人打官司時，馬來西亞法院為了防止濫訴，經常會要求非本國居民的原告提供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訴訟費用擔保（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Security for costs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，以確保若原告敗訴時，有能力支付被告的法律費用。</w:t>
            </w:r>
          </w:p>
          <w:p w:rsidR="00061066" w:rsidRPr="00327D7E" w:rsidRDefault="00D97121" w:rsidP="00D97121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：專利侵權訴訟的追訴時效為自侵權行為發生之日起算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6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。若超過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6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年，權利人將喪失提起訴訟或請求損害賠償的權利。</w:t>
            </w:r>
          </w:p>
        </w:tc>
      </w:tr>
    </w:tbl>
    <w:p w:rsidR="0092228A" w:rsidRPr="00327D7E" w:rsidRDefault="0092228A">
      <w:pPr>
        <w:widowControl/>
        <w:rPr>
          <w:sz w:val="20"/>
          <w:szCs w:val="20"/>
        </w:rPr>
      </w:pPr>
    </w:p>
    <w:sectPr w:rsidR="0092228A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2C7F4D"/>
    <w:rsid w:val="00304F0E"/>
    <w:rsid w:val="00311A04"/>
    <w:rsid w:val="00326595"/>
    <w:rsid w:val="00327D7E"/>
    <w:rsid w:val="00335F1C"/>
    <w:rsid w:val="00335FF7"/>
    <w:rsid w:val="00351403"/>
    <w:rsid w:val="00354045"/>
    <w:rsid w:val="0038473A"/>
    <w:rsid w:val="003934F9"/>
    <w:rsid w:val="003A72A6"/>
    <w:rsid w:val="003D135A"/>
    <w:rsid w:val="003E2E34"/>
    <w:rsid w:val="003F0011"/>
    <w:rsid w:val="00405226"/>
    <w:rsid w:val="00467E37"/>
    <w:rsid w:val="0047427D"/>
    <w:rsid w:val="004B580E"/>
    <w:rsid w:val="004B7133"/>
    <w:rsid w:val="00520620"/>
    <w:rsid w:val="00536559"/>
    <w:rsid w:val="00546396"/>
    <w:rsid w:val="00582563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4B713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4B71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E9A20-76F6-48AD-8468-24B417DCA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2026-08-05T00:47:00Z</dcterms:created>
  <dcterms:modified xsi:type="dcterms:W3CDTF">2026-09-04T06:01:00Z</dcterms:modified>
</cp:coreProperties>
</file>