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E2D" w:rsidRPr="008E5C3E" w:rsidRDefault="000F5E2D" w:rsidP="000F5E2D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阿拉伯聯合大公國商標</w:t>
      </w:r>
    </w:p>
    <w:p w:rsidR="000F5E2D" w:rsidRPr="008E5C3E" w:rsidRDefault="000F5E2D" w:rsidP="000F5E2D">
      <w:pPr>
        <w:spacing w:after="20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6" w:history="1">
        <w:r w:rsidRPr="005103DE">
          <w:rPr>
            <w:rStyle w:val="a4"/>
            <w:sz w:val="24"/>
            <w:szCs w:val="24"/>
          </w:rPr>
          <w:t>阿聯酋經濟與旅遊部商標局（Ministry of Economy and Tourism, MoET）</w:t>
        </w:r>
      </w:hyperlink>
      <w:bookmarkStart w:id="0" w:name="_GoBack"/>
      <w:bookmarkEnd w:id="0"/>
    </w:p>
    <w:tbl>
      <w:tblPr>
        <w:tblW w:w="1360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984"/>
        <w:gridCol w:w="10206"/>
      </w:tblGrid>
      <w:tr w:rsidR="000F5E2D" w:rsidRPr="008E5C3E" w:rsidTr="00477369">
        <w:tc>
          <w:tcPr>
            <w:tcW w:w="13608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商標</w:t>
            </w:r>
          </w:p>
        </w:tc>
      </w:tr>
      <w:tr w:rsidR="000F5E2D" w:rsidRPr="008E5C3E" w:rsidTr="00477369">
        <w:tc>
          <w:tcPr>
            <w:tcW w:w="1418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申請要件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 w:hint="eastAsia"/>
                <w:sz w:val="24"/>
                <w:szCs w:val="24"/>
              </w:rPr>
              <w:t xml:space="preserve">具備識別性 </w:t>
            </w:r>
          </w:p>
        </w:tc>
        <w:tc>
          <w:tcPr>
            <w:tcW w:w="10206" w:type="dxa"/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 w:hint="eastAsia"/>
                <w:sz w:val="24"/>
                <w:szCs w:val="24"/>
              </w:rPr>
              <w:t>商標必須能夠區別申請人商品或服務與他人商品或服務。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不得註冊事由</w:t>
            </w:r>
          </w:p>
        </w:tc>
        <w:tc>
          <w:tcPr>
            <w:tcW w:w="10206" w:type="dxa"/>
            <w:vAlign w:val="center"/>
          </w:tcPr>
          <w:p w:rsidR="000F5E2D" w:rsidRPr="008E5C3E" w:rsidRDefault="000F5E2D" w:rsidP="000F5E2D">
            <w:pPr>
              <w:widowControl/>
              <w:numPr>
                <w:ilvl w:val="0"/>
                <w:numId w:val="1"/>
              </w:numPr>
              <w:shd w:val="clear" w:color="auto" w:fill="FFFFFF"/>
              <w:textAlignment w:val="baseline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第</w:t>
            </w:r>
            <w:r>
              <w:rPr>
                <w:rFonts w:cs="Times New Roman" w:hint="eastAsia"/>
                <w:color w:val="000000"/>
                <w:sz w:val="24"/>
                <w:szCs w:val="24"/>
              </w:rPr>
              <w:t>29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類之豬肉、第41類之夜總會、第43類之酒吧服務、第33類酒精飲料。</w:t>
            </w:r>
          </w:p>
          <w:p w:rsidR="000F5E2D" w:rsidRPr="008E5C3E" w:rsidRDefault="000F5E2D" w:rsidP="000F5E2D">
            <w:pPr>
              <w:widowControl/>
              <w:numPr>
                <w:ilvl w:val="0"/>
                <w:numId w:val="1"/>
              </w:numPr>
              <w:shd w:val="clear" w:color="auto" w:fill="FFFFFF"/>
              <w:textAlignment w:val="baseline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違反公共道德和信仰。</w:t>
            </w:r>
          </w:p>
          <w:p w:rsidR="000F5E2D" w:rsidRPr="008E5C3E" w:rsidRDefault="000F5E2D" w:rsidP="000F5E2D">
            <w:pPr>
              <w:pStyle w:val="a3"/>
              <w:numPr>
                <w:ilvl w:val="0"/>
                <w:numId w:val="1"/>
              </w:num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與在先商標近似。</w:t>
            </w:r>
          </w:p>
          <w:p w:rsidR="000F5E2D" w:rsidRPr="008E5C3E" w:rsidRDefault="000F5E2D" w:rsidP="000F5E2D">
            <w:pPr>
              <w:pStyle w:val="a3"/>
              <w:numPr>
                <w:ilvl w:val="0"/>
                <w:numId w:val="1"/>
              </w:numPr>
              <w:spacing w:after="60"/>
              <w:rPr>
                <w:rFonts w:cs="Times New Roman"/>
                <w:color w:val="000000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紅新月會或紅十字會的標誌及其他類似標誌及仿製品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0F5E2D" w:rsidRPr="008E5C3E" w:rsidTr="00477369">
        <w:tc>
          <w:tcPr>
            <w:tcW w:w="1418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優先權</w:t>
            </w:r>
          </w:p>
        </w:tc>
        <w:tc>
          <w:tcPr>
            <w:tcW w:w="1219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若該商標已在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台灣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或</w:t>
            </w:r>
            <w:r w:rsidRPr="008E5C3E">
              <w:rPr>
                <w:rFonts w:hint="eastAsia"/>
                <w:sz w:val="24"/>
                <w:szCs w:val="24"/>
              </w:rPr>
              <w:t>其他WTO會員國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第一次提出申請，可在6個月內向MoET主張優先權。</w:t>
            </w:r>
          </w:p>
        </w:tc>
      </w:tr>
      <w:tr w:rsidR="000F5E2D" w:rsidRPr="008E5C3E" w:rsidTr="00477369">
        <w:tc>
          <w:tcPr>
            <w:tcW w:w="1418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申請程序</w:t>
            </w: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1.商標檢索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於阿聯酋經濟部商標資料庫進行檢索，確認是否有相同或近似之商標已存在。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2.提交申請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準備商標圖樣、指定商品/服務類別，並載明申請人名稱、地址、國籍等資料，檢附經公證及認證之委任代理人授權書，由當地代理人向MoET遞交；申請文件須以阿拉伯文提出，非阿拉伯文商標須檢附阿拉伯文翻譯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3.官方審查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審查是否符合法定要件、是否具備顯著性、是否與他案商標近似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。</w:t>
            </w:r>
            <w:r w:rsidRPr="008E5C3E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4.公告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審查通過後於阿拉伯文報紙及官方商標公報公告，公告期間為30天，任何人得於此期間提出異議。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5.核准發證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公告期滿無人異議，核發商標註冊證。</w:t>
            </w:r>
          </w:p>
        </w:tc>
      </w:tr>
      <w:tr w:rsidR="000F5E2D" w:rsidRPr="008E5C3E" w:rsidTr="00477369">
        <w:tc>
          <w:tcPr>
            <w:tcW w:w="1418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審查期間</w:t>
            </w:r>
          </w:p>
        </w:tc>
        <w:tc>
          <w:tcPr>
            <w:tcW w:w="1219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約3-6個月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（若無異議、核駁）。</w:t>
            </w:r>
          </w:p>
        </w:tc>
      </w:tr>
      <w:tr w:rsidR="000F5E2D" w:rsidRPr="008E5C3E" w:rsidTr="00477369">
        <w:tc>
          <w:tcPr>
            <w:tcW w:w="1418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商標權</w:t>
            </w: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A.權利期間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自</w:t>
            </w:r>
            <w:r>
              <w:rPr>
                <w:rFonts w:hint="eastAsia"/>
                <w:sz w:val="24"/>
                <w:szCs w:val="24"/>
              </w:rPr>
              <w:t>申請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B.延展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屆滿後每次可延展10年，得無限次延展。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C.延展寬限期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屆滿後另有寬限期可申請延展（逾期加收滯納金）。</w:t>
            </w:r>
          </w:p>
        </w:tc>
      </w:tr>
      <w:tr w:rsidR="000F5E2D" w:rsidRPr="008E5C3E" w:rsidTr="00477369">
        <w:tc>
          <w:tcPr>
            <w:tcW w:w="1418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D.使用證明</w:t>
            </w:r>
          </w:p>
        </w:tc>
        <w:tc>
          <w:tcPr>
            <w:tcW w:w="102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F5E2D" w:rsidRPr="008E5C3E" w:rsidRDefault="000F5E2D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color w:val="000000"/>
                <w:sz w:val="24"/>
                <w:szCs w:val="24"/>
              </w:rPr>
              <w:t>阿聯酋無強制申報使用宣誓書之規定；惟商標自註冊日起連續5年未使用，得由第三人申請</w:t>
            </w:r>
            <w:r w:rsidRPr="008E5C3E">
              <w:rPr>
                <w:rFonts w:cs="Times New Roman" w:hint="eastAsia"/>
                <w:color w:val="000000"/>
                <w:sz w:val="24"/>
                <w:szCs w:val="24"/>
              </w:rPr>
              <w:t>撤銷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。</w:t>
            </w:r>
          </w:p>
        </w:tc>
      </w:tr>
    </w:tbl>
    <w:p w:rsidR="000F5E2D" w:rsidRPr="008E5C3E" w:rsidRDefault="000F5E2D" w:rsidP="000F5E2D">
      <w:pPr>
        <w:spacing w:before="60" w:after="160"/>
        <w:rPr>
          <w:sz w:val="24"/>
          <w:szCs w:val="24"/>
        </w:rPr>
      </w:pPr>
    </w:p>
    <w:p w:rsidR="00CA4D5F" w:rsidRPr="000F5E2D" w:rsidRDefault="00CA4D5F"/>
    <w:sectPr w:rsidR="00CA4D5F" w:rsidRPr="000F5E2D" w:rsidSect="000F5E2D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64F66"/>
    <w:multiLevelType w:val="hybridMultilevel"/>
    <w:tmpl w:val="9D4AB1C2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E2D"/>
    <w:rsid w:val="000F5E2D"/>
    <w:rsid w:val="0016331B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E2D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0F5E2D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0F5E2D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0F5E2D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0F5E2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E2D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0F5E2D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0F5E2D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0F5E2D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0F5E2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et.gov.ae/en/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2026-08-05T01:45:00Z</dcterms:created>
  <dcterms:modified xsi:type="dcterms:W3CDTF">2026-08-05T02:08:00Z</dcterms:modified>
</cp:coreProperties>
</file>