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2E6" w:rsidRPr="008E5C3E" w:rsidRDefault="007012E6" w:rsidP="007012E6">
      <w:pPr>
        <w:pStyle w:val="1"/>
        <w:spacing w:before="240" w:after="200"/>
        <w:rPr>
          <w:szCs w:val="24"/>
        </w:rPr>
      </w:pPr>
      <w:r w:rsidRPr="008E5C3E">
        <w:rPr>
          <w:szCs w:val="24"/>
        </w:rPr>
        <w:t>阿根廷商標</w:t>
      </w:r>
    </w:p>
    <w:p w:rsidR="007012E6" w:rsidRPr="00B7357F" w:rsidRDefault="007012E6" w:rsidP="007012E6">
      <w:pPr>
        <w:spacing w:before="60" w:after="160"/>
        <w:rPr>
          <w:sz w:val="24"/>
          <w:szCs w:val="24"/>
        </w:rPr>
      </w:pPr>
      <w:r w:rsidRPr="008E5C3E">
        <w:rPr>
          <w:b/>
          <w:bCs/>
          <w:sz w:val="24"/>
          <w:szCs w:val="24"/>
        </w:rPr>
        <w:t>主管機關：</w:t>
      </w:r>
      <w:hyperlink r:id="rId7" w:history="1">
        <w:r w:rsidRPr="00B7357F">
          <w:rPr>
            <w:rStyle w:val="a3"/>
            <w:rFonts w:hint="eastAsia"/>
            <w:sz w:val="24"/>
            <w:szCs w:val="24"/>
          </w:rPr>
          <w:t>阿根廷</w:t>
        </w:r>
        <w:r w:rsidRPr="00B7357F">
          <w:rPr>
            <w:rStyle w:val="a3"/>
            <w:sz w:val="24"/>
            <w:szCs w:val="24"/>
          </w:rPr>
          <w:t>國家工業產權局(Instituto Nacional de la Propiedad Industrial, INPI</w:t>
        </w:r>
        <w:r w:rsidRPr="00B7357F">
          <w:rPr>
            <w:rStyle w:val="a3"/>
            <w:rFonts w:hint="eastAsia"/>
            <w:sz w:val="24"/>
            <w:szCs w:val="24"/>
          </w:rPr>
          <w:t>)</w:t>
        </w:r>
      </w:hyperlink>
    </w:p>
    <w:tbl>
      <w:tblPr>
        <w:tblW w:w="14034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693"/>
        <w:gridCol w:w="14"/>
        <w:gridCol w:w="10051"/>
      </w:tblGrid>
      <w:tr w:rsidR="007012E6" w:rsidRPr="008E5C3E" w:rsidTr="00477369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12E6" w:rsidRPr="008E5C3E" w:rsidRDefault="007012E6" w:rsidP="00477369">
            <w:pPr>
              <w:rPr>
                <w:color w:val="FFFFFF" w:themeColor="background1"/>
                <w:sz w:val="24"/>
                <w:szCs w:val="24"/>
              </w:rPr>
            </w:pPr>
            <w:r w:rsidRPr="008E5C3E"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693" w:type="dxa"/>
            <w:shd w:val="clear" w:color="auto" w:fill="1F4E79"/>
          </w:tcPr>
          <w:p w:rsidR="007012E6" w:rsidRPr="008E5C3E" w:rsidRDefault="007012E6" w:rsidP="00477369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0065" w:type="dxa"/>
            <w:gridSpan w:val="2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12E6" w:rsidRPr="008E5C3E" w:rsidRDefault="007012E6" w:rsidP="00477369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7012E6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12758" w:type="dxa"/>
            <w:gridSpan w:val="3"/>
            <w:shd w:val="clear" w:color="auto" w:fill="FFFFFF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讓消費者能夠識別個人或公司的產品或服務，以便將其與競爭對手的產品或服務區分開來。</w:t>
            </w:r>
          </w:p>
        </w:tc>
      </w:tr>
      <w:tr w:rsidR="007012E6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7" w:type="dxa"/>
            <w:gridSpan w:val="2"/>
            <w:shd w:val="clear" w:color="auto" w:fill="FFFFFF"/>
          </w:tcPr>
          <w:p w:rsidR="007012E6" w:rsidRPr="008E5C3E" w:rsidRDefault="007012E6" w:rsidP="00477369">
            <w:pPr>
              <w:shd w:val="clear" w:color="auto" w:fill="FFFFFF"/>
              <w:spacing w:after="173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不能註冊事由</w:t>
            </w:r>
          </w:p>
        </w:tc>
        <w:tc>
          <w:tcPr>
            <w:tcW w:w="10051" w:type="dxa"/>
            <w:shd w:val="clear" w:color="auto" w:fill="FFFFFF"/>
          </w:tcPr>
          <w:p w:rsidR="007012E6" w:rsidRPr="008E5C3E" w:rsidRDefault="007012E6" w:rsidP="007012E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已普遍使用的名稱、字詞、標誌和廣告詞</w:t>
            </w:r>
          </w:p>
          <w:p w:rsidR="007012E6" w:rsidRPr="008E5C3E" w:rsidRDefault="007012E6" w:rsidP="007012E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rFonts w:cs="Arial"/>
                <w:color w:val="141414"/>
                <w:spacing w:val="-3"/>
                <w:sz w:val="24"/>
                <w:szCs w:val="24"/>
                <w:shd w:val="clear" w:color="auto" w:fill="FFFFFF"/>
              </w:rPr>
              <w:t>與先前註冊或申請註冊的商標相同或近似的商標</w:t>
            </w:r>
          </w:p>
          <w:p w:rsidR="007012E6" w:rsidRPr="008E5C3E" w:rsidRDefault="007012E6" w:rsidP="007012E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rFonts w:cs="Arial"/>
                <w:color w:val="141414"/>
                <w:spacing w:val="-3"/>
                <w:sz w:val="24"/>
                <w:szCs w:val="24"/>
                <w:shd w:val="clear" w:color="auto" w:fill="FFFFFF"/>
              </w:rPr>
              <w:t>違反道德的文字、圖畫和其他標誌</w:t>
            </w:r>
          </w:p>
        </w:tc>
      </w:tr>
      <w:tr w:rsidR="007012E6" w:rsidRPr="008E5C3E" w:rsidTr="00477369"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優先權</w:t>
            </w:r>
          </w:p>
        </w:tc>
        <w:tc>
          <w:tcPr>
            <w:tcW w:w="12758" w:type="dxa"/>
            <w:gridSpan w:val="3"/>
            <w:shd w:val="clear" w:color="auto" w:fill="FFFFFF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若該商標已在台灣或其他WTO會員國第一次提出申請，可在6個月內</w:t>
            </w:r>
            <w:r>
              <w:rPr>
                <w:rFonts w:hint="eastAsia"/>
                <w:sz w:val="24"/>
                <w:szCs w:val="24"/>
              </w:rPr>
              <w:t>向</w:t>
            </w:r>
            <w:r w:rsidRPr="0056427F">
              <w:rPr>
                <w:rFonts w:hint="eastAsia"/>
                <w:sz w:val="24"/>
                <w:szCs w:val="24"/>
              </w:rPr>
              <w:t>阿根廷國家工業產權局</w:t>
            </w:r>
            <w:r w:rsidRPr="008E5C3E">
              <w:rPr>
                <w:rFonts w:hint="eastAsia"/>
                <w:sz w:val="24"/>
                <w:szCs w:val="24"/>
              </w:rPr>
              <w:t>主張優先權。</w:t>
            </w:r>
          </w:p>
        </w:tc>
      </w:tr>
      <w:tr w:rsidR="007012E6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693" w:type="dxa"/>
            <w:shd w:val="clear" w:color="auto" w:fill="EBF3FB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</w:t>
            </w:r>
            <w:r w:rsidRPr="008E5C3E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10065" w:type="dxa"/>
            <w:gridSpan w:val="2"/>
            <w:shd w:val="clear" w:color="auto" w:fill="EBF3FB"/>
          </w:tcPr>
          <w:p w:rsidR="007012E6" w:rsidRPr="008E5C3E" w:rsidRDefault="007012E6" w:rsidP="007012E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在提交前先於</w:t>
            </w:r>
            <w:r w:rsidRPr="008E5C3E">
              <w:rPr>
                <w:rFonts w:hint="eastAsia"/>
                <w:sz w:val="24"/>
                <w:szCs w:val="24"/>
              </w:rPr>
              <w:t>INPI資料庫進行檢索，確認是否有相同或近似商標已存在，以降低被駁回風險。</w:t>
            </w:r>
          </w:p>
        </w:tc>
      </w:tr>
      <w:tr w:rsidR="007012E6" w:rsidRPr="008E5C3E" w:rsidTr="00477369">
        <w:trPr>
          <w:trHeight w:val="188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2.提交申請</w:t>
            </w:r>
          </w:p>
        </w:tc>
        <w:tc>
          <w:tcPr>
            <w:tcW w:w="10065" w:type="dxa"/>
            <w:gridSpan w:val="2"/>
            <w:shd w:val="clear" w:color="auto" w:fill="EBF3FB"/>
          </w:tcPr>
          <w:p w:rsidR="007012E6" w:rsidRPr="008E5C3E" w:rsidRDefault="007012E6" w:rsidP="007012E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準備商標圖樣、指定商品/服務類別(採用尼斯分類)，並載明申請人名稱、申請人地址、申請人國籍、商標圖樣、指定商品及服務，由當地代理人向</w:t>
            </w:r>
            <w:r w:rsidRPr="008E5C3E">
              <w:rPr>
                <w:rFonts w:hint="eastAsia"/>
                <w:sz w:val="24"/>
                <w:szCs w:val="24"/>
              </w:rPr>
              <w:t>INPI</w:t>
            </w:r>
            <w:r w:rsidRPr="008E5C3E">
              <w:rPr>
                <w:sz w:val="24"/>
                <w:szCs w:val="24"/>
              </w:rPr>
              <w:t>遞交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7012E6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3.官方審查</w:t>
            </w:r>
          </w:p>
        </w:tc>
        <w:tc>
          <w:tcPr>
            <w:tcW w:w="10065" w:type="dxa"/>
            <w:gridSpan w:val="2"/>
            <w:shd w:val="clear" w:color="auto" w:fill="EBF3FB"/>
          </w:tcPr>
          <w:p w:rsidR="007012E6" w:rsidRPr="008E5C3E" w:rsidRDefault="007012E6" w:rsidP="007012E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包含形式審查(文件格式)</w:t>
            </w:r>
            <w:r w:rsidRPr="008E5C3E">
              <w:rPr>
                <w:rFonts w:hint="eastAsia"/>
                <w:sz w:val="24"/>
                <w:szCs w:val="24"/>
              </w:rPr>
              <w:t>與實質審查(是否具備顯著性、是否與他案衝突等)。</w:t>
            </w:r>
          </w:p>
        </w:tc>
      </w:tr>
      <w:tr w:rsidR="007012E6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4.公告</w:t>
            </w:r>
          </w:p>
        </w:tc>
        <w:tc>
          <w:tcPr>
            <w:tcW w:w="10065" w:type="dxa"/>
            <w:gridSpan w:val="2"/>
            <w:shd w:val="clear" w:color="auto" w:fill="EBF3FB"/>
          </w:tcPr>
          <w:p w:rsidR="007012E6" w:rsidRPr="008E5C3E" w:rsidRDefault="007012E6" w:rsidP="007012E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審核通過會進入官方公告期，為期</w:t>
            </w:r>
            <w:r w:rsidRPr="008E5C3E">
              <w:rPr>
                <w:rFonts w:hint="eastAsia"/>
                <w:sz w:val="24"/>
                <w:szCs w:val="24"/>
              </w:rPr>
              <w:t>30天</w:t>
            </w:r>
            <w:r w:rsidRPr="008E5C3E">
              <w:rPr>
                <w:sz w:val="24"/>
                <w:szCs w:val="24"/>
              </w:rPr>
              <w:t>，在此期間內利害關係人可提出異議。</w:t>
            </w:r>
          </w:p>
        </w:tc>
      </w:tr>
      <w:tr w:rsidR="007012E6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5.核准發證</w:t>
            </w:r>
          </w:p>
        </w:tc>
        <w:tc>
          <w:tcPr>
            <w:tcW w:w="10065" w:type="dxa"/>
            <w:gridSpan w:val="2"/>
            <w:shd w:val="clear" w:color="auto" w:fill="EBF3FB"/>
          </w:tcPr>
          <w:p w:rsidR="007012E6" w:rsidRPr="008E5C3E" w:rsidRDefault="007012E6" w:rsidP="007012E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7012E6" w:rsidRPr="008E5C3E" w:rsidTr="00477369"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審查期間</w:t>
            </w:r>
          </w:p>
        </w:tc>
        <w:tc>
          <w:tcPr>
            <w:tcW w:w="12758" w:type="dxa"/>
            <w:gridSpan w:val="3"/>
            <w:shd w:val="clear" w:color="auto" w:fill="EBF3FB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約18-</w:t>
            </w:r>
            <w:r w:rsidRPr="008E5C3E">
              <w:rPr>
                <w:rFonts w:hint="eastAsia"/>
                <w:sz w:val="24"/>
                <w:szCs w:val="24"/>
              </w:rPr>
              <w:t>24</w:t>
            </w:r>
            <w:r w:rsidRPr="008E5C3E">
              <w:rPr>
                <w:sz w:val="24"/>
                <w:szCs w:val="24"/>
              </w:rPr>
              <w:t>個月。(若無核駁)</w:t>
            </w:r>
          </w:p>
        </w:tc>
      </w:tr>
      <w:tr w:rsidR="007012E6" w:rsidRPr="008E5C3E" w:rsidTr="00477369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lastRenderedPageBreak/>
              <w:t>商標權</w:t>
            </w:r>
          </w:p>
        </w:tc>
        <w:tc>
          <w:tcPr>
            <w:tcW w:w="2693" w:type="dxa"/>
            <w:shd w:val="clear" w:color="auto" w:fill="FFFFFF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A.</w:t>
            </w:r>
            <w:r w:rsidRPr="008E5C3E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10065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自註冊</w:t>
            </w:r>
            <w:r w:rsidRPr="00D777E1">
              <w:rPr>
                <w:rFonts w:hint="eastAsia"/>
                <w:sz w:val="24"/>
                <w:szCs w:val="24"/>
              </w:rPr>
              <w:t>日起</w:t>
            </w:r>
            <w:r w:rsidRPr="00D777E1">
              <w:rPr>
                <w:sz w:val="24"/>
                <w:szCs w:val="24"/>
              </w:rPr>
              <w:t>10年有效</w:t>
            </w:r>
            <w:r w:rsidRPr="008E5C3E">
              <w:rPr>
                <w:sz w:val="24"/>
                <w:szCs w:val="24"/>
              </w:rPr>
              <w:t>。</w:t>
            </w:r>
          </w:p>
        </w:tc>
      </w:tr>
      <w:tr w:rsidR="007012E6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10065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屆滿後每次可延展10年，延展於屆滿前6個月可提出，得無限次延展。</w:t>
            </w:r>
          </w:p>
        </w:tc>
      </w:tr>
      <w:tr w:rsidR="007012E6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10065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10年期間屆滿後6個月內為延展寬限期。</w:t>
            </w:r>
          </w:p>
        </w:tc>
      </w:tr>
      <w:tr w:rsidR="007012E6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12E6" w:rsidRPr="008E5C3E" w:rsidRDefault="007012E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10065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E6" w:rsidRPr="008E5C3E" w:rsidRDefault="007012E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於商標核准後</w:t>
            </w:r>
            <w:r w:rsidRPr="008E5C3E">
              <w:rPr>
                <w:bCs/>
                <w:sz w:val="24"/>
                <w:szCs w:val="24"/>
              </w:rPr>
              <w:t>第5年至第6年屆滿前交使用宣誓。</w:t>
            </w:r>
          </w:p>
        </w:tc>
      </w:tr>
    </w:tbl>
    <w:p w:rsidR="00CA4D5F" w:rsidRPr="007012E6" w:rsidRDefault="00CA4D5F">
      <w:bookmarkStart w:id="0" w:name="_GoBack"/>
      <w:bookmarkEnd w:id="0"/>
    </w:p>
    <w:sectPr w:rsidR="00CA4D5F" w:rsidRPr="007012E6" w:rsidSect="007012E6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406A0E"/>
    <w:multiLevelType w:val="hybridMultilevel"/>
    <w:tmpl w:val="F6F6BD76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2E6"/>
    <w:rsid w:val="007012E6"/>
    <w:rsid w:val="00CA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2E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7012E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7012E6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7012E6"/>
    <w:rPr>
      <w:color w:val="0563C1"/>
      <w:u w:val="single"/>
    </w:rPr>
  </w:style>
  <w:style w:type="paragraph" w:styleId="a4">
    <w:name w:val="No Spacing"/>
    <w:uiPriority w:val="1"/>
    <w:qFormat/>
    <w:rsid w:val="007012E6"/>
    <w:pPr>
      <w:widowControl w:val="0"/>
    </w:pPr>
    <w:rPr>
      <w:rFonts w:ascii="標楷體" w:eastAsia="標楷體" w:hAnsi="標楷體" w:cs="標楷體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2E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7012E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7012E6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7012E6"/>
    <w:rPr>
      <w:color w:val="0563C1"/>
      <w:u w:val="single"/>
    </w:rPr>
  </w:style>
  <w:style w:type="paragraph" w:styleId="a4">
    <w:name w:val="No Spacing"/>
    <w:uiPriority w:val="1"/>
    <w:qFormat/>
    <w:rsid w:val="007012E6"/>
    <w:pPr>
      <w:widowControl w:val="0"/>
    </w:pPr>
    <w:rPr>
      <w:rFonts w:ascii="標楷體" w:eastAsia="標楷體" w:hAnsi="標楷體" w:cs="標楷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argentina.gob.ar/inp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65706-3CC5-44DB-9AD3-F4D3807C8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2026-08-05T01:44:00Z</dcterms:created>
  <dcterms:modified xsi:type="dcterms:W3CDTF">2026-08-05T01:44:00Z</dcterms:modified>
</cp:coreProperties>
</file>