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016" w:rsidRPr="008E5C3E" w:rsidRDefault="00563016" w:rsidP="00563016">
      <w:pPr>
        <w:pStyle w:val="1"/>
        <w:tabs>
          <w:tab w:val="left" w:pos="3744"/>
        </w:tabs>
        <w:spacing w:before="240" w:after="200"/>
        <w:rPr>
          <w:szCs w:val="24"/>
        </w:rPr>
      </w:pPr>
      <w:bookmarkStart w:id="0" w:name="_GoBack"/>
      <w:bookmarkEnd w:id="0"/>
      <w:r w:rsidRPr="008E5C3E">
        <w:rPr>
          <w:szCs w:val="24"/>
        </w:rPr>
        <w:t>美國商標</w:t>
      </w:r>
    </w:p>
    <w:p w:rsidR="00563016" w:rsidRPr="004A64E4" w:rsidRDefault="00563016" w:rsidP="00563016">
      <w:pPr>
        <w:pStyle w:val="1"/>
        <w:tabs>
          <w:tab w:val="left" w:pos="3744"/>
        </w:tabs>
        <w:spacing w:before="240" w:after="200"/>
        <w:rPr>
          <w:rFonts w:cs="Segoe UI"/>
          <w:b w:val="0"/>
          <w:color w:val="1B1B1B"/>
          <w:sz w:val="24"/>
          <w:szCs w:val="24"/>
          <w:shd w:val="clear" w:color="auto" w:fill="FFFFFF"/>
        </w:rPr>
      </w:pPr>
      <w:r w:rsidRPr="008E5C3E">
        <w:rPr>
          <w:sz w:val="24"/>
          <w:szCs w:val="24"/>
        </w:rPr>
        <w:t>主管機關：</w:t>
      </w:r>
      <w:hyperlink r:id="rId6" w:history="1">
        <w:r w:rsidRPr="004A64E4">
          <w:rPr>
            <w:rStyle w:val="a4"/>
            <w:rFonts w:hint="eastAsia"/>
            <w:b w:val="0"/>
            <w:sz w:val="24"/>
            <w:szCs w:val="24"/>
          </w:rPr>
          <w:t>美國專利商標局(</w:t>
        </w:r>
        <w:r w:rsidRPr="004A64E4">
          <w:rPr>
            <w:rStyle w:val="a4"/>
            <w:rFonts w:cs="Segoe UI"/>
            <w:b w:val="0"/>
            <w:sz w:val="24"/>
            <w:szCs w:val="24"/>
            <w:shd w:val="clear" w:color="auto" w:fill="FFFFFF"/>
          </w:rPr>
          <w:t>United States Patent and Trademark Office</w:t>
        </w:r>
        <w:r w:rsidRPr="004A64E4">
          <w:rPr>
            <w:rStyle w:val="a4"/>
            <w:rFonts w:cs="Segoe UI" w:hint="eastAsia"/>
            <w:b w:val="0"/>
            <w:sz w:val="24"/>
            <w:szCs w:val="24"/>
            <w:shd w:val="clear" w:color="auto" w:fill="FFFFFF"/>
          </w:rPr>
          <w:t>,</w:t>
        </w:r>
        <w:r w:rsidRPr="004A64E4">
          <w:rPr>
            <w:rStyle w:val="a4"/>
            <w:rFonts w:cs="Segoe UI"/>
            <w:b w:val="0"/>
            <w:sz w:val="24"/>
            <w:szCs w:val="24"/>
            <w:shd w:val="clear" w:color="auto" w:fill="FFFFFF"/>
          </w:rPr>
          <w:t xml:space="preserve"> USPTO)</w:t>
        </w:r>
      </w:hyperlink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563016" w:rsidRPr="008E5C3E" w:rsidTr="00477369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63016" w:rsidRPr="008E5C3E" w:rsidRDefault="00563016" w:rsidP="00477369">
            <w:pPr>
              <w:rPr>
                <w:color w:val="FFFFFF" w:themeColor="background1"/>
                <w:sz w:val="24"/>
                <w:szCs w:val="24"/>
              </w:rPr>
            </w:pPr>
            <w:r w:rsidRPr="008E5C3E"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563016" w:rsidRPr="008E5C3E" w:rsidRDefault="00563016" w:rsidP="0047736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63016" w:rsidRPr="008E5C3E" w:rsidRDefault="00563016" w:rsidP="00477369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563016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12899" w:type="dxa"/>
            <w:gridSpan w:val="2"/>
            <w:shd w:val="clear" w:color="auto" w:fill="FFFFFF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商標必須用於識別商品或服務來源</w:t>
            </w:r>
          </w:p>
        </w:tc>
      </w:tr>
      <w:tr w:rsidR="00563016" w:rsidRPr="008E5C3E" w:rsidTr="00477369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899" w:type="dxa"/>
            <w:gridSpan w:val="2"/>
            <w:shd w:val="clear" w:color="auto" w:fill="FFFFFF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必須指定商品／服務及其國際分類</w:t>
            </w:r>
          </w:p>
        </w:tc>
      </w:tr>
      <w:tr w:rsidR="00563016" w:rsidRPr="008E5C3E" w:rsidTr="00477369">
        <w:trPr>
          <w:trHeight w:val="1224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899" w:type="dxa"/>
            <w:gridSpan w:val="2"/>
            <w:shd w:val="clear" w:color="auto" w:fill="FFFFFF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有適當的申請基礎:</w:t>
            </w:r>
          </w:p>
          <w:p w:rsidR="00563016" w:rsidRPr="008E5C3E" w:rsidRDefault="00563016" w:rsidP="00563016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 xml:space="preserve">Use in Commerce（已在美國商業使用，Section 1(a)） </w:t>
            </w:r>
          </w:p>
          <w:p w:rsidR="00563016" w:rsidRPr="008E5C3E" w:rsidRDefault="00563016" w:rsidP="00563016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 xml:space="preserve">Intent to Use（有真實使用意圖，Section 1(b)） </w:t>
            </w:r>
          </w:p>
          <w:p w:rsidR="00563016" w:rsidRPr="008E5C3E" w:rsidRDefault="00563016" w:rsidP="00563016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 xml:space="preserve">Foreign Application（以外國申請為基礎，Section 44(d)） </w:t>
            </w:r>
          </w:p>
          <w:p w:rsidR="00563016" w:rsidRPr="008E5C3E" w:rsidRDefault="00563016" w:rsidP="00563016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 xml:space="preserve">Foreign Registration（以外國註冊為基礎，Section 44(e)） </w:t>
            </w:r>
          </w:p>
        </w:tc>
      </w:tr>
      <w:tr w:rsidR="00563016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優先權</w:t>
            </w:r>
          </w:p>
        </w:tc>
        <w:tc>
          <w:tcPr>
            <w:tcW w:w="12899" w:type="dxa"/>
            <w:gridSpan w:val="2"/>
            <w:shd w:val="clear" w:color="auto" w:fill="auto"/>
          </w:tcPr>
          <w:p w:rsidR="00563016" w:rsidRPr="008E5C3E" w:rsidRDefault="00563016" w:rsidP="0056301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若該商標已在台灣或其他WTO會員國第一次提出申請，可在6個月內向美國專利商標局主張優先權。</w:t>
            </w:r>
          </w:p>
        </w:tc>
      </w:tr>
      <w:tr w:rsidR="00563016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</w:t>
            </w:r>
            <w:r w:rsidRPr="008E5C3E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9922" w:type="dxa"/>
            <w:shd w:val="clear" w:color="auto" w:fill="EBF3FB"/>
          </w:tcPr>
          <w:p w:rsidR="00563016" w:rsidRPr="008E5C3E" w:rsidRDefault="00563016" w:rsidP="0056301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在提交前先於</w:t>
            </w:r>
            <w:r w:rsidRPr="008E5C3E">
              <w:rPr>
                <w:rFonts w:hint="eastAsia"/>
                <w:sz w:val="24"/>
                <w:szCs w:val="24"/>
              </w:rPr>
              <w:t>USPTO資料庫進行檢索，確認是否有相同或近似商標已存在，以降低被駁回風險。</w:t>
            </w:r>
          </w:p>
        </w:tc>
      </w:tr>
      <w:tr w:rsidR="0056301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2.提交申請</w:t>
            </w:r>
          </w:p>
        </w:tc>
        <w:tc>
          <w:tcPr>
            <w:tcW w:w="9922" w:type="dxa"/>
            <w:shd w:val="clear" w:color="auto" w:fill="EBF3FB"/>
          </w:tcPr>
          <w:p w:rsidR="00563016" w:rsidRPr="008E5C3E" w:rsidRDefault="00563016" w:rsidP="0056301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準備商標圖樣、指定商品/服務類別(採用尼斯分類)，並載明申請人名稱、申請人地址、申請人國籍、商標圖樣、指定商品及服務，由當地代理人向</w:t>
            </w:r>
            <w:r w:rsidRPr="008E5C3E">
              <w:rPr>
                <w:rFonts w:hint="eastAsia"/>
                <w:sz w:val="24"/>
                <w:szCs w:val="24"/>
              </w:rPr>
              <w:t>USPTO</w:t>
            </w:r>
            <w:r w:rsidRPr="008E5C3E">
              <w:rPr>
                <w:sz w:val="24"/>
                <w:szCs w:val="24"/>
              </w:rPr>
              <w:t>遞交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56301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3.官方審查</w:t>
            </w:r>
          </w:p>
        </w:tc>
        <w:tc>
          <w:tcPr>
            <w:tcW w:w="9922" w:type="dxa"/>
            <w:shd w:val="clear" w:color="auto" w:fill="EBF3FB"/>
          </w:tcPr>
          <w:p w:rsidR="00563016" w:rsidRPr="008E5C3E" w:rsidRDefault="00563016" w:rsidP="0056301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包含形式審查(文件格式)</w:t>
            </w:r>
            <w:r w:rsidRPr="008E5C3E">
              <w:rPr>
                <w:rFonts w:hint="eastAsia"/>
                <w:sz w:val="24"/>
                <w:szCs w:val="24"/>
              </w:rPr>
              <w:t>與實質審查(是否具備顯著性、是否與他案衝突)。</w:t>
            </w:r>
          </w:p>
        </w:tc>
      </w:tr>
      <w:tr w:rsidR="0056301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4.公告</w:t>
            </w:r>
          </w:p>
        </w:tc>
        <w:tc>
          <w:tcPr>
            <w:tcW w:w="9922" w:type="dxa"/>
            <w:shd w:val="clear" w:color="auto" w:fill="EBF3FB"/>
          </w:tcPr>
          <w:p w:rsidR="00563016" w:rsidRPr="008E5C3E" w:rsidRDefault="00563016" w:rsidP="0056301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審核通過會進入官方公告期，為期30</w:t>
            </w:r>
            <w:r w:rsidRPr="008E5C3E">
              <w:rPr>
                <w:rFonts w:hint="eastAsia"/>
                <w:sz w:val="24"/>
                <w:szCs w:val="24"/>
              </w:rPr>
              <w:t>天</w:t>
            </w:r>
            <w:r w:rsidRPr="008E5C3E">
              <w:rPr>
                <w:sz w:val="24"/>
                <w:szCs w:val="24"/>
              </w:rPr>
              <w:t>，在此期間內任何人皆可提出異議。</w:t>
            </w:r>
          </w:p>
        </w:tc>
      </w:tr>
      <w:tr w:rsidR="00563016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5.核准發證</w:t>
            </w:r>
          </w:p>
        </w:tc>
        <w:tc>
          <w:tcPr>
            <w:tcW w:w="9922" w:type="dxa"/>
            <w:shd w:val="clear" w:color="auto" w:fill="EBF3FB"/>
          </w:tcPr>
          <w:p w:rsidR="00563016" w:rsidRPr="008E5C3E" w:rsidRDefault="00563016" w:rsidP="00563016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公告期滿無人異議，或異議不成立，並核發商標註冊證。</w:t>
            </w:r>
          </w:p>
          <w:p w:rsidR="00563016" w:rsidRPr="008E5C3E" w:rsidRDefault="00563016" w:rsidP="00563016">
            <w:pPr>
              <w:ind w:leftChars="65" w:left="130"/>
              <w:rPr>
                <w:sz w:val="24"/>
                <w:szCs w:val="24"/>
              </w:rPr>
            </w:pPr>
            <w:r w:rsidRPr="00AE5927">
              <w:rPr>
                <w:rFonts w:hint="eastAsia"/>
                <w:szCs w:val="24"/>
              </w:rPr>
              <w:t>*若申請時為</w:t>
            </w:r>
            <w:r w:rsidRPr="00AE5927">
              <w:rPr>
                <w:szCs w:val="24"/>
              </w:rPr>
              <w:t>Section 1(b)核准時須提交使用證據</w:t>
            </w:r>
          </w:p>
        </w:tc>
      </w:tr>
      <w:tr w:rsidR="00563016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審查期間</w:t>
            </w:r>
          </w:p>
        </w:tc>
        <w:tc>
          <w:tcPr>
            <w:tcW w:w="12899" w:type="dxa"/>
            <w:gridSpan w:val="2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約12-18個月。(若無</w:t>
            </w:r>
            <w:r w:rsidRPr="008E5C3E">
              <w:rPr>
                <w:rFonts w:hint="eastAsia"/>
                <w:sz w:val="24"/>
                <w:szCs w:val="24"/>
              </w:rPr>
              <w:t>異議、</w:t>
            </w:r>
            <w:r w:rsidRPr="008E5C3E">
              <w:rPr>
                <w:sz w:val="24"/>
                <w:szCs w:val="24"/>
              </w:rPr>
              <w:t>核駁)</w:t>
            </w:r>
          </w:p>
        </w:tc>
      </w:tr>
      <w:tr w:rsidR="00563016" w:rsidRPr="008E5C3E" w:rsidTr="00477369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A.</w:t>
            </w:r>
            <w:r w:rsidRPr="008E5C3E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D777E1">
              <w:rPr>
                <w:sz w:val="24"/>
                <w:szCs w:val="24"/>
              </w:rPr>
              <w:t>自註冊日起10年有效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563016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屆滿後每次可延展10年，延展於屆滿前12個月可提出，得無限次延展。</w:t>
            </w:r>
          </w:p>
        </w:tc>
      </w:tr>
      <w:tr w:rsidR="00563016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563016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須於下列時間提出使用證明以維持註冊：</w:t>
            </w:r>
          </w:p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第</w:t>
            </w:r>
            <w:r w:rsidRPr="008E5C3E">
              <w:rPr>
                <w:sz w:val="24"/>
                <w:szCs w:val="24"/>
              </w:rPr>
              <w:t xml:space="preserve"> 5～6 年：提出使用宣誓及使用證明。</w:t>
            </w:r>
          </w:p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每</w:t>
            </w:r>
            <w:r w:rsidRPr="008E5C3E">
              <w:rPr>
                <w:sz w:val="24"/>
                <w:szCs w:val="24"/>
              </w:rPr>
              <w:t xml:space="preserve"> 10 年：提出續展及使用宣誓並附使用證明。</w:t>
            </w:r>
          </w:p>
        </w:tc>
      </w:tr>
      <w:tr w:rsidR="00563016" w:rsidRPr="008E5C3E" w:rsidTr="00477369">
        <w:trPr>
          <w:trHeight w:val="787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3016" w:rsidRPr="008E5C3E" w:rsidRDefault="00563016" w:rsidP="00477369">
            <w:pPr>
              <w:jc w:val="center"/>
              <w:rPr>
                <w:b/>
                <w:sz w:val="24"/>
                <w:szCs w:val="24"/>
              </w:rPr>
            </w:pPr>
            <w:r w:rsidRPr="008E5C3E">
              <w:rPr>
                <w:rFonts w:hint="eastAsia"/>
                <w:b/>
                <w:sz w:val="24"/>
                <w:szCs w:val="24"/>
              </w:rPr>
              <w:t>商標爭議救濟</w:t>
            </w:r>
          </w:p>
          <w:p w:rsidR="00563016" w:rsidRPr="008E5C3E" w:rsidRDefault="00563016" w:rsidP="004773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異議(</w:t>
            </w:r>
            <w:r w:rsidRPr="008E5C3E">
              <w:rPr>
                <w:sz w:val="24"/>
                <w:szCs w:val="24"/>
              </w:rPr>
              <w:t>opposition</w:t>
            </w:r>
            <w:r w:rsidRPr="008E5C3E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任何第三方對已經通過審查並公告的商標提出反對的法定程序，申請期限為商標註冊公告的30天內。</w:t>
            </w:r>
          </w:p>
        </w:tc>
      </w:tr>
      <w:tr w:rsidR="00563016" w:rsidRPr="008E5C3E" w:rsidTr="00477369">
        <w:trPr>
          <w:trHeight w:val="923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撤銷(</w:t>
            </w:r>
            <w:r w:rsidRPr="008E5C3E">
              <w:rPr>
                <w:sz w:val="24"/>
                <w:szCs w:val="24"/>
              </w:rPr>
              <w:t>cancellation</w:t>
            </w:r>
            <w:r w:rsidRPr="008E5C3E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3016" w:rsidRPr="008E5C3E" w:rsidRDefault="0056301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任何認為其自身或機構因商標註冊而遭受或將遭受損害的人，均可向商標審理和上訴委員會提出撤銷全部或部分註冊的申請。</w:t>
            </w:r>
          </w:p>
        </w:tc>
      </w:tr>
    </w:tbl>
    <w:p w:rsidR="00563016" w:rsidRPr="008E5C3E" w:rsidRDefault="00563016" w:rsidP="00563016">
      <w:pPr>
        <w:rPr>
          <w:sz w:val="24"/>
          <w:szCs w:val="24"/>
        </w:rPr>
      </w:pPr>
    </w:p>
    <w:p w:rsidR="00CA4D5F" w:rsidRPr="00563016" w:rsidRDefault="00CA4D5F" w:rsidP="00563016">
      <w:pPr>
        <w:widowControl/>
        <w:rPr>
          <w:b/>
          <w:bCs/>
          <w:sz w:val="24"/>
          <w:szCs w:val="24"/>
        </w:rPr>
      </w:pPr>
    </w:p>
    <w:sectPr w:rsidR="00CA4D5F" w:rsidRPr="00563016" w:rsidSect="00563016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1024D"/>
    <w:multiLevelType w:val="hybridMultilevel"/>
    <w:tmpl w:val="4E9E6B58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7CBE1238">
      <w:numFmt w:val="bullet"/>
      <w:lvlText w:val=""/>
      <w:lvlJc w:val="left"/>
      <w:pPr>
        <w:ind w:left="885" w:hanging="405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016"/>
    <w:rsid w:val="00563016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01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56301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56301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56301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563016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01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56301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563016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563016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56301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spto.g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2026-08-05T01:39:00Z</dcterms:created>
  <dcterms:modified xsi:type="dcterms:W3CDTF">2026-08-05T01:39:00Z</dcterms:modified>
</cp:coreProperties>
</file>