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86" w:rsidRPr="00327D7E" w:rsidRDefault="004B580E" w:rsidP="0022198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巴西</w:t>
      </w:r>
      <w:r w:rsidR="00536559">
        <w:rPr>
          <w:rFonts w:hint="eastAsia"/>
          <w:sz w:val="20"/>
          <w:szCs w:val="20"/>
        </w:rPr>
        <w:t>專利</w:t>
      </w:r>
    </w:p>
    <w:p w:rsidR="00221986" w:rsidRPr="00327D7E" w:rsidRDefault="00E4178B" w:rsidP="00221986">
      <w:pPr>
        <w:jc w:val="center"/>
        <w:rPr>
          <w:sz w:val="20"/>
          <w:szCs w:val="20"/>
        </w:rPr>
      </w:pPr>
      <w:proofErr w:type="spellStart"/>
      <w:r>
        <w:t>Busca</w:t>
      </w:r>
      <w:proofErr w:type="spellEnd"/>
      <w:r>
        <w:t xml:space="preserve"> Web INPI</w:t>
      </w:r>
      <w:r>
        <w:rPr>
          <w:rFonts w:hint="eastAsia"/>
        </w:rPr>
        <w:t xml:space="preserve"> </w:t>
      </w:r>
      <w:r w:rsidR="00221986" w:rsidRPr="00327D7E">
        <w:rPr>
          <w:rFonts w:hint="eastAsia"/>
          <w:sz w:val="20"/>
          <w:szCs w:val="20"/>
        </w:rPr>
        <w:t>網址：</w:t>
      </w:r>
      <w:r w:rsidRPr="00E4178B">
        <w:rPr>
          <w:sz w:val="20"/>
          <w:szCs w:val="20"/>
        </w:rPr>
        <w:t>https://busca.inpi.gov.br/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具備新穎性、進步性與產業利用性的技術產品或方法。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（保護年限在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全球屬於偏長者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必須審查進步性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針對實體物品（如工具、器具）在形狀、結構上，能提升其使用功能或製造效益的全新改良（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4B580E" w:rsidRPr="00327D7E" w:rsidTr="004B580E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3 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次，每次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（可後置申請實體審查）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4B580E" w:rsidRPr="004B580E" w:rsidRDefault="004B580E" w:rsidP="004B580E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4B580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產品全部或部分的創新外形、線條、色彩或圖案等具備可工業再現性的外觀特徵。</w:t>
                  </w:r>
                </w:p>
              </w:tc>
            </w:tr>
          </w:tbl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新型專利亦須審查「進步性」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：與許多國家（如台、中、法、日）不同，巴西的新型專利（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MU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並非登記制，而是強制實體審查，且審查標準中包含「進步性（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Inventive Step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）」要求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。雖然其進步性門檻略低於發明專利，但仍需耗費數年審查，佈局時需特別注意。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徹底廢除「最低保護年限保障」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：巴西過去為了補償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審查過慢，法律規定發明專利自「核准日起算」至少有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年、新型至少有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7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年的保證期（即使加上排隊時間超過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年也適用）。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最高法院已正式宣告該條款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違憲並廢除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，現一律嚴格執行自「申請日起算」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/15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提實體審查時限為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：發明與新型專利必須在申請日（或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PCT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國際申請日）起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月內主動提出實體審查請求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，並繳納審查費，逾期該申請案將直接被視為撤回。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排除治療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手術方法與部分生物科技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：巴西專利法明確規定，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針對人類或動物身體的「手術、治療或診斷方法」無法獲得專利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天然存在的生物體、生物物質、基因組（即使是分離出來的）在巴西也屬於不可專利標的。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：巴西提供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包含「發明人自己（或其授權者）主動公開或銷售」該技術的行為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，在期限內向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遞交申請不會因此喪失新穎性。</w:t>
            </w:r>
          </w:p>
          <w:p w:rsidR="00221986" w:rsidRPr="00327D7E" w:rsidRDefault="004B580E" w:rsidP="00B67052">
            <w:pPr>
              <w:widowControl/>
              <w:numPr>
                <w:ilvl w:val="0"/>
                <w:numId w:val="3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強制委體本地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代理人與翻譯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：外國申請人若在巴西沒有固定住所或主要營業場所，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必須強制委託居住於巴西當地的註冊專利代理人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，且所有提交給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的技術文件與權利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要求書皆必須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葡萄牙文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221986" w:rsidRPr="00327D7E" w:rsidTr="0038473A">
        <w:tc>
          <w:tcPr>
            <w:tcW w:w="416" w:type="dxa"/>
            <w:vAlign w:val="center"/>
          </w:tcPr>
          <w:p w:rsidR="00221986" w:rsidRPr="00327D7E" w:rsidRDefault="00221986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州法院（侵權）與聯邦法院（無效）雙軌管轄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：這是打巴西專利官司最複雜的核心特點：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：由各省的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州法院（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State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民事庭管轄。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無效宣告訴訟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：若被告反訴專利無效，該無效訴訟必須移交給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聯邦法院（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Federal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審理（因為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是中央聯邦機構，必須作為被告參加訴訟）。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這常導致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侵權與無效在兩個截然不同的法院系統中雙軌並行、甚至互相等待。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判定原則（字面文義與等同原則）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巴西法院在技術侵權判定上，首要採用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與全要件原則。</w:t>
            </w:r>
          </w:p>
          <w:p w:rsidR="004B580E" w:rsidRPr="004B580E" w:rsidRDefault="004B580E" w:rsidP="00B67052">
            <w:pPr>
              <w:widowControl/>
              <w:numPr>
                <w:ilvl w:val="1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巴西法律亦承認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。如果被控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侵權物是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以「實質相同的手段」，實現「實質相同的功能」，並達到「實質相同的效果」，且該置換對該領域技術人員而言是顯而易見的，仍構成侵權。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快速的臨時禁令（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Preliminary Injunctions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：雖然最終判決可能因法院雙軌制而拖延數年，但巴西州法院的法官在訴訟初期，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相當願意在原告提供初步證據或擔保的情況下，快速簽發「臨時禁令（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，強制被告立即停工、停售或扣押侵權貨品，是權利人極佳的卡位武器。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刑事起訴與突擊搜查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：在巴西，專利侵權亦屬於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刑事犯罪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LPI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規範）。專利權人可以向警方報案，申請刑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事搜查令和扣押令，直接前往涉嫌侵權者的工廠、倉庫進行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突擊搜查並查封侵權商品與生產機具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4B580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損害賠償與利潤損失的推定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：原告在州法院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打贏侵權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官司後，損害賠償可以依據以下三者中「對權利人最有利」的方式計算：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1.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權利人因侵權所受的實際損失；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侵權人因侵權所獲得的非法利潤；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3.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侵權人若獲得合法授權原本應支付的權利金。</w:t>
            </w:r>
          </w:p>
          <w:p w:rsidR="00221986" w:rsidRPr="00327D7E" w:rsidRDefault="004B580E" w:rsidP="00B67052">
            <w:pPr>
              <w:widowControl/>
              <w:numPr>
                <w:ilvl w:val="0"/>
                <w:numId w:val="4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：專利侵權民事訴訟的追訴與損害賠償請求權時效，為自侵權行為發生之日起算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87E7A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600DC-D6AB-4647-8EA7-CE6BCA8D6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2026-08-05T00:51:00Z</dcterms:created>
  <dcterms:modified xsi:type="dcterms:W3CDTF">2026-08-05T00:53:00Z</dcterms:modified>
</cp:coreProperties>
</file>