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0E" w:rsidRPr="00327D7E" w:rsidRDefault="0087517A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沙烏地阿拉伯</w:t>
      </w:r>
      <w:r w:rsidR="00536559">
        <w:rPr>
          <w:rFonts w:hint="eastAsia"/>
          <w:sz w:val="20"/>
          <w:szCs w:val="20"/>
        </w:rPr>
        <w:t>專利</w:t>
      </w:r>
    </w:p>
    <w:p w:rsidR="004B580E" w:rsidRPr="00327D7E" w:rsidRDefault="00311A04" w:rsidP="004B580E">
      <w:pPr>
        <w:jc w:val="center"/>
        <w:rPr>
          <w:sz w:val="20"/>
          <w:szCs w:val="20"/>
        </w:rPr>
      </w:pPr>
      <w:r>
        <w:t>SAIP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r w:rsidRPr="00311A04">
        <w:rPr>
          <w:sz w:val="20"/>
          <w:szCs w:val="20"/>
        </w:rPr>
        <w:t>https://www.saip.gov.sa/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（形式核准後強制提審）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沙烏地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，小型技術改良多直接申請發明專利。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（不經實體審查直接發證）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產品全部或部分由形狀、圖案、線條或色彩組成的創新視覺外觀。</w:t>
                  </w:r>
                </w:p>
              </w:tc>
            </w:tr>
          </w:tbl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海合會（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GCC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）與沙國國家案之轉變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：過去跨國企業多透過「海灣阿拉伯國家合作委員會（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GCC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）專利局」進行一案多國保護，但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GCC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專利局自前幾年停止受理新申請案。現在外國人若要在沙烏地卡位，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必須直接向沙烏地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提交國家專利案，或透過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PCT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（專利合作條約）進入沙烏地國家階段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強制提實體審查時限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：沙烏地專利在通過基本的形式審查（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Formal Examination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）後，申請人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必須在收到官方通知的特定法定期限內（或於法規時限內）主動繳費提出實體審查請求（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Substantive 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。否則，該申請案將直接被系統視為撤回。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嚴格的伊斯蘭律法（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Sharia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）紅線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：沙烏地的專利法與宗教、道德規範緊密相連。如果發明技術的商業實施或內容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違反伊斯蘭教義、公共秩序、國家安全或公共道德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（例如涉及特定賭博器具、不符教義的生物製品等），該發明將被絕對禁止授予專利。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排除診斷與治療方法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：與歐美多數國家相同，沙烏地專利法明確規定「針對人類或動物身體的外科手術、治療方法以及疾病診斷方法」屬於不可專利標的。但用於此類方法的儀器、設備或化學物質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醫藥品本身仍可獲得專利。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全面採用阿拉伯文翻譯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擁有高度數位化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的線上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filing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系統。然而，外國申請人在遞交申請時，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所有的技術說明書、專利範圍（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）及圖式說明，必須強制翻譯為精確的「阿拉伯文」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。翻譯若有瑕疵，在後續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答辯或侵權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訴訟中常成為致命弱點。</w:t>
            </w:r>
          </w:p>
          <w:p w:rsidR="004B580E" w:rsidRPr="00327D7E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強制委託本地合法代理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：外國個人或機構若在沙烏地境內沒有固定住所或主要營業場所，辦理所有專利、商標及設計業務時，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必須強制指定並委託具有沙烏地合法執照的智慧財產權代理機構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專責委員會（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Committee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）一審管轄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：沙烏地阿拉伯的專利侵權訴訟與商標、著作權不同。專利侵權的行政與民事一審，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統一由沙烏地智財局（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SAIP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）內設的專責「專利爭議審議委員會」進行審理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，而非直接交由一般的民事法院。該委員會由法學與多位技術專家組成，對技術比對有較高的專業能力。對委員會裁決不服者，二審方可上訴至沙烏地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Commercial/Administrative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判定原則（權利要求字面與全要件）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87517A" w:rsidRPr="0087517A" w:rsidRDefault="0087517A" w:rsidP="00B67052">
            <w:pPr>
              <w:widowControl/>
              <w:numPr>
                <w:ilvl w:val="1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沙烏地委員會在審理侵權時，首要遵循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，逐字比對被告產品是否完全落入專利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所界定的邊界。</w:t>
            </w:r>
          </w:p>
          <w:p w:rsidR="0087517A" w:rsidRPr="0087517A" w:rsidRDefault="0087517A" w:rsidP="00B67052">
            <w:pPr>
              <w:widowControl/>
              <w:numPr>
                <w:ilvl w:val="1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雖然沙烏地法理上逐漸引進西方的等同原則，但在實務上委員會的態度非常保守。若被告產品更改了非核心元件且使用了不同的手段，沙烏地審查官通常較不傾向判決等同侵權，撰寫權利要求時應極力避免字面限縮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官方主導的突擊搜查與扣押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：因應沙烏地推動智財現代化，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設有極為強大的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智慧財產執法部門（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IP Enforcement Division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。權利人若發現市場上存在侵權行為並提交初步證據，可向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申請發動行政突擊检查。執法人員有權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直接查封、扣押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仿冒或侵權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的商品，並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強行令涉案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企業暫停營業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，執法速度在近年顯著加快。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救濟措施與懲罰性賠償之缺乏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：若被判定構成侵權，委員會與法院可判處侵權人立即停止實施（禁令）、銷毀侵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權物品、沒收違法所得，並對侵權人處以高額的行政罰鍰。在民事賠償上，主要賠償權利人的實際損失。但沙烏地法律目前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不適用英美法系的懲罰性損害賠償（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與海關聯動的邊境保護（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Enforcement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：沙烏地海關建立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了線上智慧財產權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備案資料庫。專利權人在獲證後，可以將專利資訊在海關備案。當海關在沙烏地各大港口、機場攔截到涉嫌侵權的進出口貨物時，會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主動通知權利人配合鑑定並暫時扣留貨品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，從邊境截斷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327D7E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：專利侵權損害賠償的民事請求權時效，通常為自權利人「知悉侵權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4667B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40DD4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E47AD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AB621-ACBB-4B75-83BB-506CD36F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2026-08-05T00:52:00Z</dcterms:created>
  <dcterms:modified xsi:type="dcterms:W3CDTF">2026-08-05T00:54:00Z</dcterms:modified>
</cp:coreProperties>
</file>