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0831" w:rsidRPr="00327D7E" w:rsidRDefault="007F7E9A" w:rsidP="0069358F">
      <w:pPr>
        <w:jc w:val="center"/>
        <w:rPr>
          <w:sz w:val="20"/>
          <w:szCs w:val="20"/>
        </w:rPr>
      </w:pPr>
      <w:r w:rsidRPr="00327D7E">
        <w:rPr>
          <w:rFonts w:hint="eastAsia"/>
          <w:sz w:val="20"/>
          <w:szCs w:val="20"/>
        </w:rPr>
        <w:t>法</w:t>
      </w:r>
      <w:r w:rsidR="00800831" w:rsidRPr="00327D7E">
        <w:rPr>
          <w:rFonts w:hint="eastAsia"/>
          <w:sz w:val="20"/>
          <w:szCs w:val="20"/>
        </w:rPr>
        <w:t>國</w:t>
      </w:r>
      <w:r w:rsidR="00536559">
        <w:rPr>
          <w:rFonts w:hint="eastAsia"/>
          <w:sz w:val="20"/>
          <w:szCs w:val="20"/>
        </w:rPr>
        <w:t>專利</w:t>
      </w:r>
    </w:p>
    <w:p w:rsidR="00800831" w:rsidRPr="00327D7E" w:rsidRDefault="00FC24E6" w:rsidP="00D65FB0">
      <w:pPr>
        <w:jc w:val="center"/>
        <w:rPr>
          <w:sz w:val="20"/>
          <w:szCs w:val="20"/>
        </w:rPr>
      </w:pPr>
      <w:r>
        <w:t>INPI</w:t>
      </w:r>
      <w:r>
        <w:rPr>
          <w:rFonts w:hint="eastAsia"/>
        </w:rPr>
        <w:t xml:space="preserve"> </w:t>
      </w:r>
      <w:r w:rsidR="00D65FB0" w:rsidRPr="00327D7E">
        <w:rPr>
          <w:rFonts w:hint="eastAsia"/>
          <w:sz w:val="20"/>
          <w:szCs w:val="20"/>
        </w:rPr>
        <w:t>網址：</w:t>
      </w:r>
      <w:r w:rsidRPr="00FC24E6">
        <w:rPr>
          <w:sz w:val="20"/>
          <w:szCs w:val="20"/>
        </w:rPr>
        <w:t>https://data.inpi.fr/</w:t>
      </w:r>
      <w:r w:rsidR="0038473A">
        <w:rPr>
          <w:rFonts w:hint="eastAsia"/>
          <w:sz w:val="20"/>
          <w:szCs w:val="20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6"/>
        <w:gridCol w:w="10182"/>
      </w:tblGrid>
      <w:tr w:rsidR="00800831" w:rsidRPr="00327D7E" w:rsidTr="00861D0B">
        <w:tc>
          <w:tcPr>
            <w:tcW w:w="416" w:type="dxa"/>
            <w:vAlign w:val="center"/>
          </w:tcPr>
          <w:p w:rsidR="00800831" w:rsidRPr="00327D7E" w:rsidRDefault="00800831" w:rsidP="0069358F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專利種類</w:t>
            </w:r>
          </w:p>
        </w:tc>
        <w:tc>
          <w:tcPr>
            <w:tcW w:w="101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1"/>
              <w:gridCol w:w="2492"/>
              <w:gridCol w:w="2491"/>
              <w:gridCol w:w="2492"/>
            </w:tblGrid>
            <w:tr w:rsidR="00221986" w:rsidRPr="00327D7E" w:rsidTr="00221986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21986" w:rsidRPr="00221986" w:rsidRDefault="00221986" w:rsidP="00221986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221986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專利</w:t>
                  </w:r>
                  <w:r w:rsidRPr="00221986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/</w:t>
                  </w:r>
                  <w:r w:rsidRPr="00221986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保護種類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21986" w:rsidRPr="00221986" w:rsidRDefault="00221986" w:rsidP="00221986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221986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保護年限（自申請日起算）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21986" w:rsidRPr="00221986" w:rsidRDefault="00221986" w:rsidP="00221986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221986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審查制度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21986" w:rsidRPr="00221986" w:rsidRDefault="00221986" w:rsidP="00221986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221986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核心保護標的</w:t>
                  </w:r>
                </w:p>
              </w:tc>
            </w:tr>
            <w:tr w:rsidR="00221986" w:rsidRPr="00327D7E" w:rsidTr="00221986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21986" w:rsidRPr="00221986" w:rsidRDefault="00221986" w:rsidP="00221986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發明專利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21986" w:rsidRPr="00221986" w:rsidRDefault="00221986" w:rsidP="00221986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21986" w:rsidRPr="00221986" w:rsidRDefault="00221986" w:rsidP="00221986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221986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實體審查制（含新穎性與進步性）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21986" w:rsidRPr="00221986" w:rsidRDefault="00221986" w:rsidP="00221986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221986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具新穎性、進步性與產業利用性的技術發明。</w:t>
                  </w:r>
                </w:p>
              </w:tc>
            </w:tr>
            <w:tr w:rsidR="00221986" w:rsidRPr="00327D7E" w:rsidTr="00221986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21986" w:rsidRPr="00221986" w:rsidRDefault="00221986" w:rsidP="00221986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新型專利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21986" w:rsidRPr="00221986" w:rsidRDefault="00221986" w:rsidP="00221986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10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221986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（舊制為</w:t>
                  </w:r>
                  <w:r w:rsidRPr="00221986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6</w:t>
                  </w:r>
                  <w:r w:rsidRPr="00221986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年）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21986" w:rsidRPr="00221986" w:rsidRDefault="00221986" w:rsidP="00221986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221986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形式審查制（不進行實體審查）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21986" w:rsidRPr="00221986" w:rsidRDefault="00221986" w:rsidP="00221986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221986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技術發明（與發明專利標的相同，包含方法）。</w:t>
                  </w:r>
                </w:p>
              </w:tc>
            </w:tr>
            <w:tr w:rsidR="00221986" w:rsidRPr="00327D7E" w:rsidTr="00221986">
              <w:trPr>
                <w:tblCellSpacing w:w="15" w:type="dxa"/>
              </w:trPr>
              <w:tc>
                <w:tcPr>
                  <w:tcW w:w="2446" w:type="dxa"/>
                  <w:tcBorders>
                    <w:bottom w:val="nil"/>
                  </w:tcBorders>
                  <w:vAlign w:val="center"/>
                  <w:hideMark/>
                </w:tcPr>
                <w:p w:rsidR="00221986" w:rsidRPr="00221986" w:rsidRDefault="00221986" w:rsidP="00221986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設計專利</w:t>
                  </w:r>
                </w:p>
              </w:tc>
              <w:tc>
                <w:tcPr>
                  <w:tcW w:w="2462" w:type="dxa"/>
                  <w:tcBorders>
                    <w:bottom w:val="nil"/>
                  </w:tcBorders>
                  <w:vAlign w:val="center"/>
                  <w:hideMark/>
                </w:tcPr>
                <w:p w:rsidR="00221986" w:rsidRPr="00221986" w:rsidRDefault="00221986" w:rsidP="00221986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5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221986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（可展延</w:t>
                  </w:r>
                  <w:r w:rsidRPr="00221986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4</w:t>
                  </w:r>
                  <w:r w:rsidRPr="00221986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次，最長</w:t>
                  </w:r>
                  <w:r w:rsidRPr="00221986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25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221986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</w:t>
                  </w:r>
                </w:p>
              </w:tc>
              <w:tc>
                <w:tcPr>
                  <w:tcW w:w="2461" w:type="dxa"/>
                  <w:tcBorders>
                    <w:bottom w:val="nil"/>
                  </w:tcBorders>
                  <w:vAlign w:val="center"/>
                  <w:hideMark/>
                </w:tcPr>
                <w:p w:rsidR="00221986" w:rsidRPr="00221986" w:rsidRDefault="00221986" w:rsidP="00221986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221986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形式審查制</w:t>
                  </w:r>
                </w:p>
              </w:tc>
              <w:tc>
                <w:tcPr>
                  <w:tcW w:w="2447" w:type="dxa"/>
                  <w:tcBorders>
                    <w:bottom w:val="nil"/>
                  </w:tcBorders>
                  <w:vAlign w:val="center"/>
                  <w:hideMark/>
                </w:tcPr>
                <w:p w:rsidR="00221986" w:rsidRPr="00221986" w:rsidRDefault="00221986" w:rsidP="00221986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221986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產品全部或部分的創新外觀、線條、色彩或形狀。</w:t>
                  </w:r>
                </w:p>
              </w:tc>
            </w:tr>
          </w:tbl>
          <w:p w:rsidR="00800831" w:rsidRPr="00327D7E" w:rsidRDefault="00800831" w:rsidP="0069358F">
            <w:pPr>
              <w:jc w:val="center"/>
              <w:rPr>
                <w:sz w:val="20"/>
                <w:szCs w:val="20"/>
              </w:rPr>
            </w:pPr>
          </w:p>
        </w:tc>
      </w:tr>
      <w:tr w:rsidR="00800831" w:rsidRPr="00327D7E" w:rsidTr="00861D0B">
        <w:tc>
          <w:tcPr>
            <w:tcW w:w="416" w:type="dxa"/>
            <w:vAlign w:val="center"/>
          </w:tcPr>
          <w:p w:rsidR="00800831" w:rsidRPr="00327D7E" w:rsidRDefault="00800831" w:rsidP="0069358F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申請要點</w:t>
            </w:r>
          </w:p>
        </w:tc>
        <w:tc>
          <w:tcPr>
            <w:tcW w:w="10182" w:type="dxa"/>
          </w:tcPr>
          <w:p w:rsidR="00BA3845" w:rsidRPr="00BA3845" w:rsidRDefault="00BA3845" w:rsidP="00BA3845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BA384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="00B80AFA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引入進步性審查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：修法後，法國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INPI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不再只針對「明顯無新穎性」的案件進行核駁，亦會依據歐洲專利局（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EPO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）的檢索報告，對發明專利進行嚴格的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進步性（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Inventive Step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）審查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  <w:r w:rsidR="009874D8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</w:p>
          <w:p w:rsidR="00BA3845" w:rsidRPr="00BA3845" w:rsidRDefault="00BA3845" w:rsidP="00BA3845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BA384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BA3845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臨時申請案機制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：申請人可先提交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臨時申請案（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Provisional Application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以快速取得優先權日，但必須在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12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月內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轉為正式的發明或新型專利。</w:t>
            </w:r>
            <w:r w:rsidR="009874D8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</w:p>
          <w:p w:rsidR="00BA3845" w:rsidRPr="00BA3845" w:rsidRDefault="00BA3845" w:rsidP="00BA3845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BA384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="00B80AFA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新型與發明可互轉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BA3845" w:rsidRPr="00BA3845" w:rsidRDefault="00D222AA" w:rsidP="00D222AA">
            <w:pPr>
              <w:widowControl/>
              <w:ind w:firstLineChars="100" w:firstLine="20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BA384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="00BA3845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發明專利若未在申請時或</w:t>
            </w:r>
            <w:r w:rsidR="00BA3845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18 </w:t>
            </w:r>
            <w:proofErr w:type="gramStart"/>
            <w:r w:rsidR="00BA3845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個</w:t>
            </w:r>
            <w:proofErr w:type="gramEnd"/>
            <w:r w:rsidR="00BA3845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月內提請新穎性調查，會自動被轉換為新型專利。</w:t>
            </w:r>
          </w:p>
          <w:p w:rsidR="00BA3845" w:rsidRPr="00BA3845" w:rsidRDefault="00D222AA" w:rsidP="00D222AA">
            <w:pPr>
              <w:widowControl/>
              <w:ind w:firstLineChars="100" w:firstLine="20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BA384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="00BA3845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新型專利在法定期限內，亦可申請轉換為發明專利（但須補做實體審查）。</w:t>
            </w:r>
            <w:r w:rsidR="009874D8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</w:p>
          <w:p w:rsidR="00BA3845" w:rsidRPr="00BA3845" w:rsidRDefault="00BA3845" w:rsidP="00BA3845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BA384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="00B80AFA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新型專利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發證快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：新型專利因免除檢索與實體審查費用，通常在申請後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6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月內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即可形式核准並公告發證。</w:t>
            </w:r>
          </w:p>
          <w:p w:rsidR="00BA3845" w:rsidRPr="00BA3845" w:rsidRDefault="00BA3845" w:rsidP="00BA3845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BA384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="00B80AFA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引入核准後異議制度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：公眾可在發明專利核准公告後的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特定期限內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向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INPI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提出異議（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Opposition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），提供第三方成本更低的撤銷管道。</w:t>
            </w:r>
          </w:p>
          <w:p w:rsidR="00800831" w:rsidRPr="00327D7E" w:rsidRDefault="00BA3845" w:rsidP="00B80AFA">
            <w:pPr>
              <w:widowControl/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="00B80AFA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國防安全審查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：所有在法國提出的專利申請案，皆須於初期（約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1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至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5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個月內）移交國防部進行安全審查，通過後才可繼續審查或對外公開。</w:t>
            </w:r>
          </w:p>
        </w:tc>
      </w:tr>
      <w:tr w:rsidR="00800831" w:rsidRPr="00327D7E" w:rsidTr="00861D0B">
        <w:tc>
          <w:tcPr>
            <w:tcW w:w="416" w:type="dxa"/>
            <w:vAlign w:val="center"/>
          </w:tcPr>
          <w:p w:rsidR="00800831" w:rsidRPr="00327D7E" w:rsidRDefault="00800831" w:rsidP="0069358F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專利爭議侵權</w:t>
            </w:r>
          </w:p>
        </w:tc>
        <w:tc>
          <w:tcPr>
            <w:tcW w:w="10182" w:type="dxa"/>
          </w:tcPr>
          <w:p w:rsidR="00673D4D" w:rsidRPr="00673D4D" w:rsidRDefault="00673D4D" w:rsidP="00673D4D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673D4D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="00B80AFA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一元化司法管轄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：法國實行特殊的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專利爭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訟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一元制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，專利侵權訴訟與專利無效宣告（抗辯），皆統一由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巴黎高等法院（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Tribunal de </w:t>
            </w:r>
            <w:proofErr w:type="spell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Judiciaire</w:t>
            </w:r>
            <w:proofErr w:type="spell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de Paris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專管審理，避免了行政與民事程序雙軌脫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鉤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的問題。</w:t>
            </w:r>
          </w:p>
          <w:p w:rsidR="00673D4D" w:rsidRPr="00673D4D" w:rsidRDefault="00673D4D" w:rsidP="00673D4D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673D4D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="00B80AFA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扣押搜索制度（</w:t>
            </w:r>
            <w:proofErr w:type="spell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Saisie-contrefaçon</w:t>
            </w:r>
            <w:proofErr w:type="spell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：這是法國極具特色的侵權取證手段。權利人可在提起訴訟前，向法院申請專利扣押令，在執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達吏與專家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的陪同下，突擊前往涉嫌侵權者的營業場所進行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現場搜查、拍照並扣押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帳冊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或樣品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，侵權人不得拒絕。</w:t>
            </w:r>
          </w:p>
          <w:p w:rsidR="00673D4D" w:rsidRPr="00673D4D" w:rsidRDefault="00673D4D" w:rsidP="00673D4D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673D4D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="00B80AFA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新型專利訴訟限制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：若欲基於「新型專利」提起侵權訴訟，原告必須先向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INPI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請求製作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初步檢索報告（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Preliminary Search Report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，否則該訴訟將不被法院受理。</w:t>
            </w:r>
          </w:p>
          <w:p w:rsidR="00673D4D" w:rsidRPr="00673D4D" w:rsidRDefault="00673D4D" w:rsidP="00673D4D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673D4D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="00B80AFA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判定原則（全要件與等同原則）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673D4D" w:rsidRPr="00673D4D" w:rsidRDefault="00D222AA" w:rsidP="00D222AA">
            <w:pPr>
              <w:widowControl/>
              <w:ind w:firstLineChars="100" w:firstLine="20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BA384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proofErr w:type="gramStart"/>
            <w:r w:rsidR="00673D4D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文義侵權</w:t>
            </w:r>
            <w:proofErr w:type="gramEnd"/>
            <w:r w:rsidR="00673D4D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：被控侵權產品包含專利權利要求書中的全部技術特徵。</w:t>
            </w:r>
          </w:p>
          <w:p w:rsidR="00673D4D" w:rsidRPr="00673D4D" w:rsidRDefault="00D222AA" w:rsidP="00D222AA">
            <w:pPr>
              <w:widowControl/>
              <w:ind w:firstLineChars="100" w:firstLine="20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BA384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="00673D4D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等同原則（</w:t>
            </w:r>
            <w:r w:rsidR="00673D4D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Doctrine of Equivalents</w:t>
            </w:r>
            <w:r w:rsidR="00673D4D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="00673D4D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：若被控</w:t>
            </w:r>
            <w:proofErr w:type="gramStart"/>
            <w:r w:rsidR="00673D4D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侵權物是</w:t>
            </w:r>
            <w:proofErr w:type="gramEnd"/>
            <w:r w:rsidR="00673D4D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以「實質相同的手段」，實現「實質相同的功能」，並達到「實質相同的效果」，即使字面不完全相同，仍構成侵權。</w:t>
            </w:r>
            <w:r w:rsidR="009874D8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</w:p>
          <w:p w:rsidR="00673D4D" w:rsidRPr="00673D4D" w:rsidRDefault="00673D4D" w:rsidP="00673D4D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673D4D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="00B80AFA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救濟與賠償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：法院可判處侵權人立即停止侵權（禁令）、銷毀侵權產品、賠償權利人所受損失與所失利益，或沒收侵權所得。</w:t>
            </w:r>
          </w:p>
          <w:p w:rsidR="00800831" w:rsidRPr="00327D7E" w:rsidRDefault="00673D4D" w:rsidP="00673D4D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="00B80AFA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消滅時效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：專利侵權訴訟的追訴時效，通常為權利人「知悉或應知悉」侵權行為之日起算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5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</w:tc>
      </w:tr>
    </w:tbl>
    <w:p w:rsidR="00800831" w:rsidRPr="008B66ED" w:rsidRDefault="00800831" w:rsidP="0069358F">
      <w:pPr>
        <w:widowControl/>
        <w:rPr>
          <w:sz w:val="20"/>
          <w:szCs w:val="20"/>
        </w:rPr>
      </w:pPr>
      <w:bookmarkStart w:id="0" w:name="_GoBack"/>
      <w:bookmarkEnd w:id="0"/>
    </w:p>
    <w:sectPr w:rsidR="00800831" w:rsidRPr="008B66ED" w:rsidSect="002B241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71825"/>
    <w:multiLevelType w:val="multilevel"/>
    <w:tmpl w:val="CFB8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42204"/>
    <w:multiLevelType w:val="multilevel"/>
    <w:tmpl w:val="7978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A0D8B"/>
    <w:multiLevelType w:val="multilevel"/>
    <w:tmpl w:val="66F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4E7D4E"/>
    <w:multiLevelType w:val="multilevel"/>
    <w:tmpl w:val="EACC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DD20A1"/>
    <w:multiLevelType w:val="multilevel"/>
    <w:tmpl w:val="D45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4205A6"/>
    <w:multiLevelType w:val="multilevel"/>
    <w:tmpl w:val="E66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CE7B6F"/>
    <w:multiLevelType w:val="multilevel"/>
    <w:tmpl w:val="391A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A35C8A"/>
    <w:multiLevelType w:val="multilevel"/>
    <w:tmpl w:val="C17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E26F2B"/>
    <w:multiLevelType w:val="multilevel"/>
    <w:tmpl w:val="4CFC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8A5424"/>
    <w:multiLevelType w:val="multilevel"/>
    <w:tmpl w:val="448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4A7591"/>
    <w:multiLevelType w:val="multilevel"/>
    <w:tmpl w:val="0C22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ED130E"/>
    <w:multiLevelType w:val="multilevel"/>
    <w:tmpl w:val="603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8B42EE"/>
    <w:multiLevelType w:val="multilevel"/>
    <w:tmpl w:val="B40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EC47AA"/>
    <w:multiLevelType w:val="multilevel"/>
    <w:tmpl w:val="F04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416C7D"/>
    <w:multiLevelType w:val="multilevel"/>
    <w:tmpl w:val="734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361767"/>
    <w:multiLevelType w:val="multilevel"/>
    <w:tmpl w:val="E61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0A603E"/>
    <w:multiLevelType w:val="multilevel"/>
    <w:tmpl w:val="C4F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43061D"/>
    <w:multiLevelType w:val="multilevel"/>
    <w:tmpl w:val="5DE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773A08"/>
    <w:multiLevelType w:val="multilevel"/>
    <w:tmpl w:val="FC8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880F7B"/>
    <w:multiLevelType w:val="multilevel"/>
    <w:tmpl w:val="10AE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5C6478"/>
    <w:multiLevelType w:val="multilevel"/>
    <w:tmpl w:val="56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C21A57"/>
    <w:multiLevelType w:val="multilevel"/>
    <w:tmpl w:val="703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5B183E"/>
    <w:multiLevelType w:val="multilevel"/>
    <w:tmpl w:val="520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240B92"/>
    <w:multiLevelType w:val="multilevel"/>
    <w:tmpl w:val="2792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B0304A6"/>
    <w:multiLevelType w:val="multilevel"/>
    <w:tmpl w:val="E7C4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6B60D2"/>
    <w:multiLevelType w:val="multilevel"/>
    <w:tmpl w:val="5936D8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4F4622B"/>
    <w:multiLevelType w:val="multilevel"/>
    <w:tmpl w:val="B3B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0A1B6C"/>
    <w:multiLevelType w:val="multilevel"/>
    <w:tmpl w:val="7E9E191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20128F"/>
    <w:multiLevelType w:val="multilevel"/>
    <w:tmpl w:val="579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632E3B"/>
    <w:multiLevelType w:val="multilevel"/>
    <w:tmpl w:val="98B6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A64B85"/>
    <w:multiLevelType w:val="multilevel"/>
    <w:tmpl w:val="D99CEB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BCC6494"/>
    <w:multiLevelType w:val="multilevel"/>
    <w:tmpl w:val="94F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E74F33"/>
    <w:multiLevelType w:val="multilevel"/>
    <w:tmpl w:val="487651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9772EE"/>
    <w:multiLevelType w:val="multilevel"/>
    <w:tmpl w:val="E1A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3A490D"/>
    <w:multiLevelType w:val="multilevel"/>
    <w:tmpl w:val="8F6A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8B7C6C"/>
    <w:multiLevelType w:val="multilevel"/>
    <w:tmpl w:val="FCE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6C02A7"/>
    <w:multiLevelType w:val="multilevel"/>
    <w:tmpl w:val="D97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C704CD"/>
    <w:multiLevelType w:val="multilevel"/>
    <w:tmpl w:val="A6F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322985"/>
    <w:multiLevelType w:val="multilevel"/>
    <w:tmpl w:val="2C9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C75A7A"/>
    <w:multiLevelType w:val="multilevel"/>
    <w:tmpl w:val="7F54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9801B25"/>
    <w:multiLevelType w:val="multilevel"/>
    <w:tmpl w:val="01B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AB32F3D"/>
    <w:multiLevelType w:val="multilevel"/>
    <w:tmpl w:val="CFF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B0322E6"/>
    <w:multiLevelType w:val="multilevel"/>
    <w:tmpl w:val="12D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2B6BC2"/>
    <w:multiLevelType w:val="multilevel"/>
    <w:tmpl w:val="6F84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091374"/>
    <w:multiLevelType w:val="multilevel"/>
    <w:tmpl w:val="DCB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1D53EBA"/>
    <w:multiLevelType w:val="multilevel"/>
    <w:tmpl w:val="4B72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B165E1"/>
    <w:multiLevelType w:val="multilevel"/>
    <w:tmpl w:val="79E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DB6807"/>
    <w:multiLevelType w:val="multilevel"/>
    <w:tmpl w:val="205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77415D"/>
    <w:multiLevelType w:val="multilevel"/>
    <w:tmpl w:val="79E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33"/>
  </w:num>
  <w:num w:numId="3">
    <w:abstractNumId w:val="8"/>
  </w:num>
  <w:num w:numId="4">
    <w:abstractNumId w:val="21"/>
  </w:num>
  <w:num w:numId="5">
    <w:abstractNumId w:val="45"/>
  </w:num>
  <w:num w:numId="6">
    <w:abstractNumId w:val="39"/>
  </w:num>
  <w:num w:numId="7">
    <w:abstractNumId w:val="11"/>
  </w:num>
  <w:num w:numId="8">
    <w:abstractNumId w:val="0"/>
  </w:num>
  <w:num w:numId="9">
    <w:abstractNumId w:val="25"/>
  </w:num>
  <w:num w:numId="10">
    <w:abstractNumId w:val="41"/>
  </w:num>
  <w:num w:numId="11">
    <w:abstractNumId w:val="22"/>
  </w:num>
  <w:num w:numId="12">
    <w:abstractNumId w:val="6"/>
  </w:num>
  <w:num w:numId="13">
    <w:abstractNumId w:val="14"/>
  </w:num>
  <w:num w:numId="14">
    <w:abstractNumId w:val="32"/>
  </w:num>
  <w:num w:numId="15">
    <w:abstractNumId w:val="26"/>
  </w:num>
  <w:num w:numId="16">
    <w:abstractNumId w:val="27"/>
  </w:num>
  <w:num w:numId="17">
    <w:abstractNumId w:val="10"/>
  </w:num>
  <w:num w:numId="18">
    <w:abstractNumId w:val="23"/>
  </w:num>
  <w:num w:numId="19">
    <w:abstractNumId w:val="3"/>
  </w:num>
  <w:num w:numId="20">
    <w:abstractNumId w:val="30"/>
  </w:num>
  <w:num w:numId="21">
    <w:abstractNumId w:val="20"/>
  </w:num>
  <w:num w:numId="22">
    <w:abstractNumId w:val="28"/>
  </w:num>
  <w:num w:numId="23">
    <w:abstractNumId w:val="24"/>
  </w:num>
  <w:num w:numId="24">
    <w:abstractNumId w:val="2"/>
  </w:num>
  <w:num w:numId="25">
    <w:abstractNumId w:val="40"/>
  </w:num>
  <w:num w:numId="26">
    <w:abstractNumId w:val="9"/>
  </w:num>
  <w:num w:numId="27">
    <w:abstractNumId w:val="35"/>
  </w:num>
  <w:num w:numId="28">
    <w:abstractNumId w:val="13"/>
  </w:num>
  <w:num w:numId="29">
    <w:abstractNumId w:val="34"/>
  </w:num>
  <w:num w:numId="30">
    <w:abstractNumId w:val="7"/>
  </w:num>
  <w:num w:numId="31">
    <w:abstractNumId w:val="18"/>
  </w:num>
  <w:num w:numId="32">
    <w:abstractNumId w:val="19"/>
  </w:num>
  <w:num w:numId="33">
    <w:abstractNumId w:val="12"/>
  </w:num>
  <w:num w:numId="34">
    <w:abstractNumId w:val="31"/>
  </w:num>
  <w:num w:numId="35">
    <w:abstractNumId w:val="4"/>
  </w:num>
  <w:num w:numId="36">
    <w:abstractNumId w:val="48"/>
  </w:num>
  <w:num w:numId="37">
    <w:abstractNumId w:val="44"/>
  </w:num>
  <w:num w:numId="38">
    <w:abstractNumId w:val="17"/>
  </w:num>
  <w:num w:numId="39">
    <w:abstractNumId w:val="29"/>
  </w:num>
  <w:num w:numId="40">
    <w:abstractNumId w:val="42"/>
  </w:num>
  <w:num w:numId="41">
    <w:abstractNumId w:val="5"/>
  </w:num>
  <w:num w:numId="42">
    <w:abstractNumId w:val="16"/>
  </w:num>
  <w:num w:numId="43">
    <w:abstractNumId w:val="43"/>
  </w:num>
  <w:num w:numId="44">
    <w:abstractNumId w:val="15"/>
  </w:num>
  <w:num w:numId="45">
    <w:abstractNumId w:val="47"/>
  </w:num>
  <w:num w:numId="46">
    <w:abstractNumId w:val="38"/>
  </w:num>
  <w:num w:numId="47">
    <w:abstractNumId w:val="37"/>
  </w:num>
  <w:num w:numId="48">
    <w:abstractNumId w:val="1"/>
  </w:num>
  <w:num w:numId="49">
    <w:abstractNumId w:val="3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418"/>
    <w:rsid w:val="000132D8"/>
    <w:rsid w:val="00061066"/>
    <w:rsid w:val="00114651"/>
    <w:rsid w:val="00207493"/>
    <w:rsid w:val="00221986"/>
    <w:rsid w:val="002268FE"/>
    <w:rsid w:val="002614B9"/>
    <w:rsid w:val="00281ED7"/>
    <w:rsid w:val="002B2418"/>
    <w:rsid w:val="00304F0E"/>
    <w:rsid w:val="00311A04"/>
    <w:rsid w:val="00326595"/>
    <w:rsid w:val="00327D7E"/>
    <w:rsid w:val="00335FF7"/>
    <w:rsid w:val="00351403"/>
    <w:rsid w:val="0038473A"/>
    <w:rsid w:val="003934F9"/>
    <w:rsid w:val="003A72A6"/>
    <w:rsid w:val="003D135A"/>
    <w:rsid w:val="00405226"/>
    <w:rsid w:val="00467E37"/>
    <w:rsid w:val="0047427D"/>
    <w:rsid w:val="004B580E"/>
    <w:rsid w:val="00520620"/>
    <w:rsid w:val="00536559"/>
    <w:rsid w:val="00546396"/>
    <w:rsid w:val="00582563"/>
    <w:rsid w:val="00673D4D"/>
    <w:rsid w:val="0069358F"/>
    <w:rsid w:val="00693E2E"/>
    <w:rsid w:val="006B1F6B"/>
    <w:rsid w:val="00703A18"/>
    <w:rsid w:val="00707DF0"/>
    <w:rsid w:val="00751E8C"/>
    <w:rsid w:val="007B3EB0"/>
    <w:rsid w:val="007C4A0E"/>
    <w:rsid w:val="007E4ADC"/>
    <w:rsid w:val="007F7E9A"/>
    <w:rsid w:val="00800831"/>
    <w:rsid w:val="00832E41"/>
    <w:rsid w:val="00861D0B"/>
    <w:rsid w:val="00871FC8"/>
    <w:rsid w:val="0087517A"/>
    <w:rsid w:val="00883F16"/>
    <w:rsid w:val="008B66ED"/>
    <w:rsid w:val="008D1B6E"/>
    <w:rsid w:val="008F4EE6"/>
    <w:rsid w:val="0092228A"/>
    <w:rsid w:val="0097671F"/>
    <w:rsid w:val="00976859"/>
    <w:rsid w:val="009874D8"/>
    <w:rsid w:val="009E242B"/>
    <w:rsid w:val="009F73AC"/>
    <w:rsid w:val="00A21A77"/>
    <w:rsid w:val="00A24D8F"/>
    <w:rsid w:val="00A31B11"/>
    <w:rsid w:val="00A323F0"/>
    <w:rsid w:val="00A377C6"/>
    <w:rsid w:val="00AE0F46"/>
    <w:rsid w:val="00AF652F"/>
    <w:rsid w:val="00B1669C"/>
    <w:rsid w:val="00B312BB"/>
    <w:rsid w:val="00B63ACC"/>
    <w:rsid w:val="00B67052"/>
    <w:rsid w:val="00B67EFB"/>
    <w:rsid w:val="00B75DE5"/>
    <w:rsid w:val="00B8067C"/>
    <w:rsid w:val="00B80AFA"/>
    <w:rsid w:val="00BA3845"/>
    <w:rsid w:val="00BB209B"/>
    <w:rsid w:val="00BB50E0"/>
    <w:rsid w:val="00C9490D"/>
    <w:rsid w:val="00CF5C39"/>
    <w:rsid w:val="00D222AA"/>
    <w:rsid w:val="00D65FB0"/>
    <w:rsid w:val="00D97121"/>
    <w:rsid w:val="00DB7E6F"/>
    <w:rsid w:val="00DC2B0F"/>
    <w:rsid w:val="00DC65BD"/>
    <w:rsid w:val="00DF138F"/>
    <w:rsid w:val="00E031AE"/>
    <w:rsid w:val="00E143F6"/>
    <w:rsid w:val="00E333F6"/>
    <w:rsid w:val="00E4178B"/>
    <w:rsid w:val="00EE1147"/>
    <w:rsid w:val="00EF323B"/>
    <w:rsid w:val="00F46448"/>
    <w:rsid w:val="00F52C54"/>
    <w:rsid w:val="00F7564B"/>
    <w:rsid w:val="00FC24E6"/>
    <w:rsid w:val="00FF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20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23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4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719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48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128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5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6462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5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6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629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93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3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3115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03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17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91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4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16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3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51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9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31424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8698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9090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857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538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211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1888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75514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66278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25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730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53881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1595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44880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035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8244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7222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576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935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43849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5748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6780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2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3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2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9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01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41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3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7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0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68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2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45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613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224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71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7CF7AE-36DD-4656-8B9B-8F662DCB24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2026-08-05T00:45:00Z</dcterms:created>
  <dcterms:modified xsi:type="dcterms:W3CDTF">2026-08-05T00:54:00Z</dcterms:modified>
</cp:coreProperties>
</file>