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DF0" w:rsidRPr="00327D7E" w:rsidRDefault="00707DF0" w:rsidP="004B580E">
      <w:pPr>
        <w:jc w:val="center"/>
        <w:rPr>
          <w:sz w:val="20"/>
          <w:szCs w:val="20"/>
        </w:rPr>
      </w:pPr>
      <w:r w:rsidRPr="00327D7E">
        <w:rPr>
          <w:sz w:val="20"/>
          <w:szCs w:val="20"/>
        </w:rPr>
        <w:t>紐西蘭</w:t>
      </w:r>
      <w:r w:rsidR="00536559">
        <w:rPr>
          <w:rFonts w:hint="eastAsia"/>
          <w:sz w:val="20"/>
          <w:szCs w:val="20"/>
        </w:rPr>
        <w:t>專利</w:t>
      </w:r>
    </w:p>
    <w:p w:rsidR="004B580E" w:rsidRPr="00327D7E" w:rsidRDefault="00DB7E6F" w:rsidP="004B580E">
      <w:pPr>
        <w:jc w:val="center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IPONZ </w:t>
      </w:r>
      <w:r w:rsidR="004B580E" w:rsidRPr="00327D7E">
        <w:rPr>
          <w:rFonts w:hint="eastAsia"/>
          <w:sz w:val="20"/>
          <w:szCs w:val="20"/>
        </w:rPr>
        <w:t>網址：</w:t>
      </w:r>
      <w:r w:rsidRPr="00DB7E6F">
        <w:rPr>
          <w:sz w:val="20"/>
          <w:szCs w:val="20"/>
        </w:rPr>
        <w:t>https://www.iponz.govt.nz/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  <w:gridCol w:w="2492"/>
              <w:gridCol w:w="2491"/>
              <w:gridCol w:w="2492"/>
            </w:tblGrid>
            <w:tr w:rsidR="00707DF0" w:rsidRPr="00327D7E" w:rsidTr="00707DF0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</w:t>
                  </w: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/</w:t>
                  </w: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保護種類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保護年限（自申請日起算）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核心保護標的</w:t>
                  </w:r>
                </w:p>
              </w:tc>
            </w:tr>
            <w:tr w:rsidR="00707DF0" w:rsidRPr="00327D7E" w:rsidTr="00707DF0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發明專利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20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全面實體審查制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（須主動提審查請求）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具備新穎性、進步性（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Inventive Step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）與產業利用性的全新技術產品或方法。</w:t>
                  </w:r>
                </w:p>
              </w:tc>
            </w:tr>
            <w:tr w:rsidR="00707DF0" w:rsidRPr="00327D7E" w:rsidTr="00707DF0">
              <w:trPr>
                <w:tblCellSpacing w:w="15" w:type="dxa"/>
              </w:trPr>
              <w:tc>
                <w:tcPr>
                  <w:tcW w:w="244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新型專利</w:t>
                  </w:r>
                </w:p>
              </w:tc>
              <w:tc>
                <w:tcPr>
                  <w:tcW w:w="246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6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—</w:t>
                  </w:r>
                </w:p>
              </w:tc>
              <w:tc>
                <w:tcPr>
                  <w:tcW w:w="244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紐西蘭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不設新型專利制度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。</w:t>
                  </w:r>
                </w:p>
              </w:tc>
            </w:tr>
            <w:tr w:rsidR="00707DF0" w:rsidRPr="00327D7E" w:rsidTr="00707DF0">
              <w:trPr>
                <w:tblCellSpacing w:w="15" w:type="dxa"/>
              </w:trPr>
              <w:tc>
                <w:tcPr>
                  <w:tcW w:w="2446" w:type="dxa"/>
                  <w:tcBorders>
                    <w:bottom w:val="nil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註冊設計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br/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(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即設計專利</w:t>
                  </w:r>
                  <w:r w:rsidRPr="00327D7E">
                    <w:rPr>
                      <w:rFonts w:ascii="Arial" w:eastAsia="新細明體" w:hAnsi="Arial" w:cs="Arial"/>
                      <w:i/>
                      <w:iCs/>
                      <w:kern w:val="0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2462" w:type="dxa"/>
                  <w:tcBorders>
                    <w:bottom w:val="nil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（可展延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2 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次，每次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5 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年，最長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15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年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</w:t>
                  </w:r>
                </w:p>
              </w:tc>
              <w:tc>
                <w:tcPr>
                  <w:tcW w:w="2461" w:type="dxa"/>
                  <w:tcBorders>
                    <w:bottom w:val="nil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登記制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 xml:space="preserve"> / 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形式審查</w:t>
                  </w:r>
                </w:p>
              </w:tc>
              <w:tc>
                <w:tcPr>
                  <w:tcW w:w="2447" w:type="dxa"/>
                  <w:tcBorders>
                    <w:bottom w:val="nil"/>
                  </w:tcBorders>
                  <w:vAlign w:val="center"/>
                  <w:hideMark/>
                </w:tcPr>
                <w:p w:rsidR="00707DF0" w:rsidRPr="00707DF0" w:rsidRDefault="00707DF0" w:rsidP="00707DF0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應用於產品上，由形狀、配置、圖案或裝飾組成的創新視覺特徵（</w:t>
                  </w: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不保護純功能性外觀</w:t>
                  </w:r>
                  <w:r w:rsidRPr="00707DF0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）。</w:t>
                  </w:r>
                </w:p>
              </w:tc>
            </w:tr>
          </w:tbl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</w:p>
        </w:tc>
      </w:tr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707DF0" w:rsidRPr="00707DF0" w:rsidRDefault="00707DF0" w:rsidP="00B67052">
            <w:pPr>
              <w:widowControl/>
              <w:numPr>
                <w:ilvl w:val="0"/>
                <w:numId w:val="4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法律明確排除「電腦程式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/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軟體本身」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：紐西蘭《專利法》第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11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條設有極為嚴格的排他條款，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明確規定「電腦程式本身（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Computer Program Per Se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）」不是可專利發明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。軟體若想在紐西蘭獲證，其核心技術貢獻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不能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僅停留在資料處理或商業邏輯，必須證明該軟體與實體硬體結合，並改良了硬體本身的運作方式或解決了外部實體世界的技術問題。</w:t>
            </w:r>
          </w:p>
          <w:p w:rsidR="00707DF0" w:rsidRPr="00707DF0" w:rsidRDefault="00707DF0" w:rsidP="00B67052">
            <w:pPr>
              <w:widowControl/>
              <w:numPr>
                <w:ilvl w:val="0"/>
                <w:numId w:val="4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毛利傳統文化審查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（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Māori Advisory Committee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：這是紐西蘭最獨一無二的特色。如果您的技術發明或工業設計涉及、應用或源自於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毛利人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（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Māori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）的傳統知識（</w:t>
            </w:r>
            <w:proofErr w:type="spell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Mātauranga</w:t>
            </w:r>
            <w:proofErr w:type="spell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Māori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）或傳統原住民文化表現形式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，申請案會強制移交毛利諮詢委員會審查。若被認定會對毛利文化或價值觀造成冒犯，專利將直接被拒絕授予。</w:t>
            </w:r>
          </w:p>
          <w:p w:rsidR="00707DF0" w:rsidRPr="00707DF0" w:rsidRDefault="00707DF0" w:rsidP="00B67052">
            <w:pPr>
              <w:widowControl/>
              <w:numPr>
                <w:ilvl w:val="0"/>
                <w:numId w:val="4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絕對新穎性與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月寬限期（最新修正）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：紐西蘭採取嚴格的絕對新穎性標準。但近年修法後，紐西蘭正式引入了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的新穎性寬限期（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Grace Period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包含「發明人自己（或其前手）主動公開或發表」該技術的行為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，只要在首次公開行為起算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1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年內向紐西蘭遞交專利完整申請案，新穎性即不受影響。</w:t>
            </w:r>
          </w:p>
          <w:p w:rsidR="00707DF0" w:rsidRPr="00707DF0" w:rsidRDefault="00707DF0" w:rsidP="00B67052">
            <w:pPr>
              <w:widowControl/>
              <w:numPr>
                <w:ilvl w:val="0"/>
                <w:numId w:val="4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主動提審時限與答辯期嚴格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：申請人必須在收到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IPONZ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發出的審查通知書（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Examination Notice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）起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（或自申請日起算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5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年內）主動提出實體審查請求。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此外，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一旦收到審查意見書（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Office Action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），申請人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必須在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12 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月內（含所有答辯與修正）讓專利達到可核准的狀態（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Acceptance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，否則該案將直接失效，時間管理非常嚴苛。</w:t>
            </w:r>
          </w:p>
          <w:p w:rsidR="004B580E" w:rsidRPr="00327D7E" w:rsidRDefault="00707DF0" w:rsidP="00B67052">
            <w:pPr>
              <w:widowControl/>
              <w:numPr>
                <w:ilvl w:val="0"/>
                <w:numId w:val="45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強制委託澳</w:t>
            </w:r>
            <w:proofErr w:type="gramStart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紐</w:t>
            </w:r>
            <w:proofErr w:type="gramEnd"/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雙註冊代理人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：外國申請人在紐西蘭沒有主要營業場所者，必須強制委託具備澳洲與紐西蘭雙重註冊資格的專利代理人（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Trans-Tasman Patent Attorney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）辦理所有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IPONZ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流程，且文件必須為英文。</w:t>
            </w:r>
          </w:p>
        </w:tc>
      </w:tr>
      <w:tr w:rsidR="004B580E" w:rsidRPr="00327D7E" w:rsidTr="0038473A">
        <w:tc>
          <w:tcPr>
            <w:tcW w:w="416" w:type="dxa"/>
            <w:vAlign w:val="center"/>
          </w:tcPr>
          <w:p w:rsidR="004B580E" w:rsidRPr="00327D7E" w:rsidRDefault="004B580E" w:rsidP="0038473A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707DF0" w:rsidRPr="00707DF0" w:rsidRDefault="00707DF0" w:rsidP="00707DF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高等法院集中管轄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：紐西蘭的專利侵權訴訟與專利無效宣告（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Revocation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）反訴，統一由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紐西蘭高等法院（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High Court of New Zealand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審理。其司法體系屬於普通法（判例法）系統，審判程序嚴謹，高度尊重專家證人的技術證詞。</w:t>
            </w:r>
          </w:p>
          <w:p w:rsidR="00707DF0" w:rsidRPr="00707DF0" w:rsidRDefault="00707DF0" w:rsidP="00707DF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07DF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判定原則（目的性解釋原則）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707DF0" w:rsidRPr="00707DF0" w:rsidRDefault="00707DF0" w:rsidP="00707DF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紐西蘭法院在技術侵權判定上，嚴格遵循普通法系經典的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「目的性解釋（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Purposive Construction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707DF0" w:rsidRPr="00707DF0" w:rsidRDefault="00707DF0" w:rsidP="00707DF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kern w:val="0"/>
                <w:sz w:val="20"/>
                <w:szCs w:val="20"/>
              </w:rPr>
              <w:t xml:space="preserve">  </w:t>
            </w: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Symbol" w:cs="新細明體" w:hint="eastAsia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法官會檢視被告產品雖然更換了部分元件，但從該領域普通技術人員的角度來看，該變更是否屬於「非本質特徵（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Non-essential element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）」。如果被告只是以實質相同的手段替代了非核心元件、且達成了相同的技術效果，仍會被判定構成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等同侵權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707DF0" w:rsidRPr="00707DF0" w:rsidRDefault="00707DF0" w:rsidP="00707DF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不當威脅警告的反制（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Unjustifiable Threats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：與澳洲相同，紐西蘭設有</w:t>
            </w:r>
            <w:proofErr w:type="gramStart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反濫訴</w:t>
            </w:r>
            <w:proofErr w:type="gramEnd"/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條款。專利權人若在沒有確鑿證據的情況下，向市場競爭對手或其零售渠道發出不當的侵權警告信（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Threats of infringement proceedings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被告可以直接向法院提起反訴，要求專利權人撤回警告、宣布該威脅無效，並賠償因此造成的全部商業營業損失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707DF0" w:rsidRPr="00707DF0" w:rsidRDefault="00707DF0" w:rsidP="00707DF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07DF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無形實施與進口侵權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：紐西蘭法律規定的侵權實施行為，除了在當地製造、銷售、使用之外，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將未經授權的專利產品「進口（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Importing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）」至紐西蘭境內，或是在紐西蘭境內「持有（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Keeping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）」該產品以供商業銷售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，皆直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lastRenderedPageBreak/>
              <w:t>接構成侵權行為。</w:t>
            </w:r>
          </w:p>
          <w:p w:rsidR="00707DF0" w:rsidRPr="00707DF0" w:rsidRDefault="00707DF0" w:rsidP="00707DF0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707DF0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707DF0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核准後撤銷程序（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Revocation by Commissioner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：除了在法院打無效官司外，利害關係人也可以在專利核准公告後的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任何時間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，以行政成本較低的方式，直接向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IPONZ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註冊官申請撤銷（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Revocation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）該瑕疵專利，提供第三方極佳的防禦管道。</w:t>
            </w:r>
          </w:p>
          <w:p w:rsidR="004B580E" w:rsidRPr="00327D7E" w:rsidRDefault="00707DF0" w:rsidP="00707DF0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消滅時效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：專利侵權訴訟的損害賠償請求權時效，為自侵權行為發生之日起算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6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年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</w:tc>
      </w:tr>
    </w:tbl>
    <w:p w:rsidR="0000519D" w:rsidRPr="00327D7E" w:rsidRDefault="0000519D">
      <w:pPr>
        <w:widowControl/>
        <w:rPr>
          <w:sz w:val="20"/>
          <w:szCs w:val="20"/>
        </w:rPr>
      </w:pPr>
      <w:bookmarkStart w:id="0" w:name="_GoBack"/>
      <w:bookmarkEnd w:id="0"/>
    </w:p>
    <w:sectPr w:rsidR="0000519D" w:rsidRPr="00327D7E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0519D"/>
    <w:rsid w:val="000132D8"/>
    <w:rsid w:val="00021DB5"/>
    <w:rsid w:val="00061066"/>
    <w:rsid w:val="00114651"/>
    <w:rsid w:val="00157317"/>
    <w:rsid w:val="00207493"/>
    <w:rsid w:val="00221986"/>
    <w:rsid w:val="002268FE"/>
    <w:rsid w:val="002614B9"/>
    <w:rsid w:val="00281ED7"/>
    <w:rsid w:val="002B2418"/>
    <w:rsid w:val="00304F0E"/>
    <w:rsid w:val="00311A04"/>
    <w:rsid w:val="00326595"/>
    <w:rsid w:val="00327D7E"/>
    <w:rsid w:val="00335F1C"/>
    <w:rsid w:val="00335FF7"/>
    <w:rsid w:val="00351403"/>
    <w:rsid w:val="0038473A"/>
    <w:rsid w:val="003934F9"/>
    <w:rsid w:val="003A72A6"/>
    <w:rsid w:val="003D135A"/>
    <w:rsid w:val="003F0011"/>
    <w:rsid w:val="00405226"/>
    <w:rsid w:val="00467E37"/>
    <w:rsid w:val="0047427D"/>
    <w:rsid w:val="004B580E"/>
    <w:rsid w:val="00520620"/>
    <w:rsid w:val="00536559"/>
    <w:rsid w:val="00546396"/>
    <w:rsid w:val="00582563"/>
    <w:rsid w:val="00617FEB"/>
    <w:rsid w:val="0064347F"/>
    <w:rsid w:val="00673D4D"/>
    <w:rsid w:val="0069358F"/>
    <w:rsid w:val="00693E2E"/>
    <w:rsid w:val="006B1F6B"/>
    <w:rsid w:val="00703A18"/>
    <w:rsid w:val="00707DF0"/>
    <w:rsid w:val="007217E7"/>
    <w:rsid w:val="00751E8C"/>
    <w:rsid w:val="00764FF5"/>
    <w:rsid w:val="007B3EB0"/>
    <w:rsid w:val="007C4A0E"/>
    <w:rsid w:val="007E4ADC"/>
    <w:rsid w:val="007F3301"/>
    <w:rsid w:val="007F7E9A"/>
    <w:rsid w:val="00800831"/>
    <w:rsid w:val="008164E3"/>
    <w:rsid w:val="00832E41"/>
    <w:rsid w:val="00861D0B"/>
    <w:rsid w:val="00871FC8"/>
    <w:rsid w:val="0087517A"/>
    <w:rsid w:val="00883F16"/>
    <w:rsid w:val="008D1B6E"/>
    <w:rsid w:val="008F4EE6"/>
    <w:rsid w:val="0092228A"/>
    <w:rsid w:val="0093317A"/>
    <w:rsid w:val="0097671F"/>
    <w:rsid w:val="00976859"/>
    <w:rsid w:val="009874D8"/>
    <w:rsid w:val="009E242B"/>
    <w:rsid w:val="009F73AC"/>
    <w:rsid w:val="00A21A77"/>
    <w:rsid w:val="00A24D8F"/>
    <w:rsid w:val="00A31B11"/>
    <w:rsid w:val="00A323F0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BB50E0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E47AD"/>
    <w:rsid w:val="00EF323B"/>
    <w:rsid w:val="00F45DFA"/>
    <w:rsid w:val="00F46448"/>
    <w:rsid w:val="00F52C54"/>
    <w:rsid w:val="00F67F41"/>
    <w:rsid w:val="00F7564B"/>
    <w:rsid w:val="00FC24E6"/>
    <w:rsid w:val="00FE2FBD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0B9E0B-169C-47E2-BF62-42C602069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2026-08-05T00:52:00Z</dcterms:created>
  <dcterms:modified xsi:type="dcterms:W3CDTF">2026-08-05T00:55:00Z</dcterms:modified>
</cp:coreProperties>
</file>