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7C4A0E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越南</w:t>
      </w:r>
      <w:r w:rsidR="00536559">
        <w:rPr>
          <w:rFonts w:hint="eastAsia"/>
          <w:sz w:val="20"/>
          <w:szCs w:val="20"/>
        </w:rPr>
        <w:t>專利</w:t>
      </w:r>
    </w:p>
    <w:p w:rsidR="00061066" w:rsidRPr="00327D7E" w:rsidRDefault="00DC65BD" w:rsidP="00061066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IP Vietnam </w:t>
      </w:r>
      <w:r w:rsidR="00061066" w:rsidRPr="00327D7E">
        <w:rPr>
          <w:rFonts w:hint="eastAsia"/>
          <w:sz w:val="20"/>
          <w:szCs w:val="20"/>
        </w:rPr>
        <w:t>網址：</w:t>
      </w:r>
      <w:r w:rsidRPr="00DC65BD">
        <w:rPr>
          <w:sz w:val="20"/>
          <w:szCs w:val="20"/>
        </w:rPr>
        <w:t>https://ipvietnam.gov.vn/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解決特定問題的技術產品或方法（如製程）。</w:t>
                  </w:r>
                </w:p>
              </w:tc>
            </w:tr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，僅審查新穎性與產業利用性）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創新程度稍低，但同樣包含技術產品或方法的解決方案。</w:t>
                  </w:r>
                </w:p>
              </w:tc>
            </w:tr>
            <w:tr w:rsidR="002614B9" w:rsidRPr="00327D7E" w:rsidTr="002614B9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實體審查制（含新穎性、創造性與產業利用性）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2614B9" w:rsidRPr="002614B9" w:rsidRDefault="002614B9" w:rsidP="002614B9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新法已納入局部設計及非實體數位外觀</w:t>
                  </w:r>
                  <w:r w:rsidRPr="002614B9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）的線條、形狀、色彩等創新外觀。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新型專利亦須實體審查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：不同於許多國家（如台、中、法）的新型專利採取形式審查，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越南的新型專利（實用解決方案）必須強制提出實體審查請求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。雖然免除進步性要求，但審查仍需耗費數年，此點在佈局時需特別注意。</w:t>
            </w:r>
          </w:p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新法納入部分設計與數位設計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：最新修法大幅擴大了工業設計的保護範圍，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正式允許對「產品的局部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零件」以及非物理形態的「數位外觀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圖形使用者介面（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GUI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申請設計保護。</w:t>
            </w:r>
          </w:p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新增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AI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發明專利規範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2026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年新修智慧財產權法中，越南前瞻性地增設了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利用人工智慧（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）系統協助創作之發明的權利歸屬與保護機制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，為數位資產提供更清晰的合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依據。</w:t>
            </w:r>
          </w:p>
          <w:p w:rsidR="002614B9" w:rsidRPr="002614B9" w:rsidRDefault="002614B9" w:rsidP="002614B9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：發明與新型專利享有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的新穎性優惠期，但僅限於「發明人自行發表」、「在越南官方認可的全國或國際展覽會上展出」或「因第三方惡意洩密」等特定公開情形。</w:t>
            </w:r>
          </w:p>
          <w:p w:rsidR="00061066" w:rsidRPr="00327D7E" w:rsidRDefault="002614B9" w:rsidP="00B67052">
            <w:pPr>
              <w:widowControl/>
              <w:numPr>
                <w:ilvl w:val="0"/>
                <w:numId w:val="2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強制翻譯與代理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：外國申請人若在越南沒有營業場所或住所，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必須強制委託越南當地的合法專利代理人辦理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，且所有提交給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IPVN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的技術文件與權利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要求書皆必須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翻譯為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越南文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行政、民事雙軌並行執法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：越南是極少數仍允許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透過行政手段處理專利侵權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的國家。</w:t>
            </w:r>
          </w:p>
          <w:p w:rsidR="002614B9" w:rsidRPr="002614B9" w:rsidRDefault="002614B9" w:rsidP="00B67052">
            <w:pPr>
              <w:widowControl/>
              <w:numPr>
                <w:ilvl w:val="1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行政查處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科學技術督察（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Inspectorate of Science and Technology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或海關舉報，由官方直接進行行政突擊檢查、罰款並沒收侵權產品。這種方式速度快、成本低，但無法取得民事賠償。</w:t>
            </w:r>
          </w:p>
          <w:p w:rsidR="002614B9" w:rsidRPr="002614B9" w:rsidRDefault="002614B9" w:rsidP="00B67052">
            <w:pPr>
              <w:widowControl/>
              <w:numPr>
                <w:ilvl w:val="1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：若要請求損害賠償，則須向地方人民法院提起民事訴訟。</w:t>
            </w:r>
          </w:p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）的限縮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：越南法院在判定侵權時，傳統上極度依賴字面含義（文義侵權）。雖然法律概念上存在等同原則，但在實務上，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如果被控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侵權物與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專利權利要求書有任何微小的結構或參數差異，法院和技術鑑定機構往往傾向判定不構成侵權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官方鑑定意見（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VIPRI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）的決定性地位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：在專利侵權訴訟或行政查處中，法官與督察人員通常缺乏技術背景，因此兩者高度依賴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越南智慧財產研究所（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VIPRI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出具的「侵權專家鑑定意見書」。雖然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VIPRI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的意見在法律上僅供參考，但實務上幾乎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90%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以上的判決皆會直接照抄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VIPRI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的鑑定結論。</w:t>
            </w:r>
          </w:p>
          <w:p w:rsidR="002614B9" w:rsidRPr="002614B9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網路服務提供商（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ISP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）的避風港與聯帶責任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：因應新法實施，越南加強了電商與網路平台的侵權管控。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ISP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平台若在收到專利權人通知後，未在法定期限內下架涉嫌侵權的網路產品，將須承擔連帶賠償責任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061066" w:rsidRPr="00327D7E" w:rsidRDefault="002614B9" w:rsidP="00B67052">
            <w:pPr>
              <w:widowControl/>
              <w:numPr>
                <w:ilvl w:val="0"/>
                <w:numId w:val="2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：專利侵權訴訟的民事賠償請求權時效，通常為權利人「知悉或應知悉」侵權行為之日起算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DC2B0F" w:rsidRPr="00A161FA" w:rsidRDefault="00DC2B0F">
      <w:pPr>
        <w:widowControl/>
        <w:rPr>
          <w:sz w:val="20"/>
          <w:szCs w:val="20"/>
        </w:rPr>
      </w:pPr>
      <w:bookmarkStart w:id="0" w:name="_GoBack"/>
      <w:bookmarkEnd w:id="0"/>
    </w:p>
    <w:sectPr w:rsidR="00DC2B0F" w:rsidRPr="00A161FA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161FA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358556-7C79-4BCF-BDFA-AACDFA31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2026-08-05T00:47:00Z</dcterms:created>
  <dcterms:modified xsi:type="dcterms:W3CDTF">2026-08-05T00:56:00Z</dcterms:modified>
</cp:coreProperties>
</file>