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7D7E" w:rsidRPr="00327D7E" w:rsidRDefault="00327D7E" w:rsidP="0092228A">
      <w:pPr>
        <w:jc w:val="center"/>
        <w:rPr>
          <w:sz w:val="20"/>
          <w:szCs w:val="20"/>
        </w:rPr>
      </w:pPr>
      <w:r w:rsidRPr="00327D7E">
        <w:rPr>
          <w:sz w:val="20"/>
          <w:szCs w:val="20"/>
        </w:rPr>
        <w:t>阿聯</w:t>
      </w:r>
      <w:proofErr w:type="gramStart"/>
      <w:r w:rsidRPr="00327D7E">
        <w:rPr>
          <w:sz w:val="20"/>
          <w:szCs w:val="20"/>
        </w:rPr>
        <w:t>酋</w:t>
      </w:r>
      <w:proofErr w:type="gramEnd"/>
      <w:r w:rsidR="00536559">
        <w:rPr>
          <w:rFonts w:hint="eastAsia"/>
          <w:sz w:val="20"/>
          <w:szCs w:val="20"/>
        </w:rPr>
        <w:t>(</w:t>
      </w:r>
      <w:r w:rsidR="00311A04">
        <w:rPr>
          <w:rFonts w:hint="eastAsia"/>
          <w:sz w:val="20"/>
          <w:szCs w:val="20"/>
        </w:rPr>
        <w:t>UAE</w:t>
      </w:r>
      <w:r w:rsidR="00536559">
        <w:rPr>
          <w:rFonts w:hint="eastAsia"/>
          <w:sz w:val="20"/>
          <w:szCs w:val="20"/>
        </w:rPr>
        <w:t>)</w:t>
      </w:r>
      <w:r w:rsidR="00536559">
        <w:rPr>
          <w:rFonts w:hint="eastAsia"/>
          <w:sz w:val="20"/>
          <w:szCs w:val="20"/>
        </w:rPr>
        <w:t>專利</w:t>
      </w:r>
    </w:p>
    <w:p w:rsidR="0092228A" w:rsidRPr="00327D7E" w:rsidRDefault="00311A04" w:rsidP="0092228A">
      <w:pPr>
        <w:jc w:val="center"/>
        <w:rPr>
          <w:sz w:val="20"/>
          <w:szCs w:val="20"/>
        </w:rPr>
      </w:pPr>
      <w:r>
        <w:t>UAE</w:t>
      </w:r>
      <w:r w:rsidR="0092228A" w:rsidRPr="00327D7E">
        <w:rPr>
          <w:rFonts w:hint="eastAsia"/>
          <w:sz w:val="20"/>
          <w:szCs w:val="20"/>
        </w:rPr>
        <w:t>網址：</w:t>
      </w:r>
      <w:r w:rsidRPr="00311A04">
        <w:rPr>
          <w:sz w:val="20"/>
          <w:szCs w:val="20"/>
        </w:rPr>
        <w:t>https://services.economy.ae/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6"/>
        <w:gridCol w:w="10182"/>
      </w:tblGrid>
      <w:tr w:rsidR="0092228A" w:rsidRPr="00327D7E" w:rsidTr="0038473A">
        <w:tc>
          <w:tcPr>
            <w:tcW w:w="416" w:type="dxa"/>
            <w:vAlign w:val="center"/>
          </w:tcPr>
          <w:p w:rsidR="0092228A" w:rsidRPr="00327D7E" w:rsidRDefault="0092228A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專利種類</w:t>
            </w:r>
          </w:p>
        </w:tc>
        <w:tc>
          <w:tcPr>
            <w:tcW w:w="101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1"/>
              <w:gridCol w:w="2492"/>
              <w:gridCol w:w="2491"/>
              <w:gridCol w:w="2492"/>
            </w:tblGrid>
            <w:tr w:rsidR="00327D7E" w:rsidRPr="00327D7E" w:rsidTr="00327D7E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27D7E" w:rsidRPr="00327D7E" w:rsidRDefault="00327D7E" w:rsidP="00327D7E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專利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/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保護種類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27D7E" w:rsidRPr="00327D7E" w:rsidRDefault="00327D7E" w:rsidP="00327D7E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保護年限（自申請日起算）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27D7E" w:rsidRPr="00327D7E" w:rsidRDefault="00327D7E" w:rsidP="00327D7E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審查制度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27D7E" w:rsidRPr="00327D7E" w:rsidRDefault="00327D7E" w:rsidP="00327D7E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核心保護標的</w:t>
                  </w:r>
                </w:p>
              </w:tc>
            </w:tr>
            <w:tr w:rsidR="00327D7E" w:rsidRPr="00327D7E" w:rsidTr="00327D7E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27D7E" w:rsidRPr="00327D7E" w:rsidRDefault="00327D7E" w:rsidP="00327D7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發明專利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27D7E" w:rsidRPr="00327D7E" w:rsidRDefault="00327D7E" w:rsidP="00327D7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20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（不可延期）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27D7E" w:rsidRPr="00327D7E" w:rsidRDefault="00327D7E" w:rsidP="00327D7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全面實體審查制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（委託國際機構聯檢）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27D7E" w:rsidRPr="00327D7E" w:rsidRDefault="00327D7E" w:rsidP="00327D7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具備新穎性、進步性與產業利用性的全新技術產品或方法。</w:t>
                  </w:r>
                </w:p>
              </w:tc>
            </w:tr>
            <w:tr w:rsidR="00327D7E" w:rsidRPr="00327D7E" w:rsidTr="00327D7E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27D7E" w:rsidRPr="00327D7E" w:rsidRDefault="00327D7E" w:rsidP="00327D7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新型專利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27D7E" w:rsidRPr="00327D7E" w:rsidRDefault="00327D7E" w:rsidP="00327D7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10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（不可延期）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27D7E" w:rsidRPr="00327D7E" w:rsidRDefault="00327D7E" w:rsidP="00327D7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形式審查制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（免去實體進步性審查）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27D7E" w:rsidRPr="00327D7E" w:rsidRDefault="00327D7E" w:rsidP="00327D7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創新程度稍低、未達發明高度，但具備實用性改良的實體產品或構造。</w:t>
                  </w:r>
                </w:p>
              </w:tc>
            </w:tr>
            <w:tr w:rsidR="00327D7E" w:rsidRPr="00327D7E" w:rsidTr="00327D7E">
              <w:trPr>
                <w:tblCellSpacing w:w="15" w:type="dxa"/>
              </w:trPr>
              <w:tc>
                <w:tcPr>
                  <w:tcW w:w="2446" w:type="dxa"/>
                  <w:tcBorders>
                    <w:bottom w:val="nil"/>
                  </w:tcBorders>
                  <w:vAlign w:val="center"/>
                  <w:hideMark/>
                </w:tcPr>
                <w:p w:rsidR="00327D7E" w:rsidRPr="00327D7E" w:rsidRDefault="00327D7E" w:rsidP="00327D7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工業設計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br/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(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即設計專利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462" w:type="dxa"/>
                  <w:tcBorders>
                    <w:bottom w:val="nil"/>
                  </w:tcBorders>
                  <w:vAlign w:val="center"/>
                  <w:hideMark/>
                </w:tcPr>
                <w:p w:rsidR="00327D7E" w:rsidRPr="00327D7E" w:rsidRDefault="00327D7E" w:rsidP="00327D7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20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（修法後保護年限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由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10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年拉長至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20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</w:t>
                  </w:r>
                </w:p>
              </w:tc>
              <w:tc>
                <w:tcPr>
                  <w:tcW w:w="2461" w:type="dxa"/>
                  <w:tcBorders>
                    <w:bottom w:val="nil"/>
                  </w:tcBorders>
                  <w:vAlign w:val="center"/>
                  <w:hideMark/>
                </w:tcPr>
                <w:p w:rsidR="00327D7E" w:rsidRPr="00327D7E" w:rsidRDefault="00327D7E" w:rsidP="00327D7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登記制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 /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形式審查</w:t>
                  </w:r>
                </w:p>
              </w:tc>
              <w:tc>
                <w:tcPr>
                  <w:tcW w:w="2447" w:type="dxa"/>
                  <w:tcBorders>
                    <w:bottom w:val="nil"/>
                  </w:tcBorders>
                  <w:vAlign w:val="center"/>
                  <w:hideMark/>
                </w:tcPr>
                <w:p w:rsidR="00327D7E" w:rsidRPr="00327D7E" w:rsidRDefault="00327D7E" w:rsidP="00327D7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產品全部或部分由外形、圖案、線條、色彩組成的創新視覺特徵（含數位介面）。</w:t>
                  </w:r>
                </w:p>
              </w:tc>
            </w:tr>
          </w:tbl>
          <w:p w:rsidR="0092228A" w:rsidRPr="00327D7E" w:rsidRDefault="0092228A" w:rsidP="0038473A">
            <w:pPr>
              <w:jc w:val="center"/>
              <w:rPr>
                <w:sz w:val="20"/>
                <w:szCs w:val="20"/>
              </w:rPr>
            </w:pPr>
          </w:p>
        </w:tc>
      </w:tr>
      <w:tr w:rsidR="0092228A" w:rsidRPr="00327D7E" w:rsidTr="0038473A">
        <w:tc>
          <w:tcPr>
            <w:tcW w:w="416" w:type="dxa"/>
            <w:vAlign w:val="center"/>
          </w:tcPr>
          <w:p w:rsidR="0092228A" w:rsidRPr="00327D7E" w:rsidRDefault="0092228A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申請要點</w:t>
            </w:r>
          </w:p>
        </w:tc>
        <w:tc>
          <w:tcPr>
            <w:tcW w:w="10182" w:type="dxa"/>
          </w:tcPr>
          <w:p w:rsidR="00327D7E" w:rsidRPr="00327D7E" w:rsidRDefault="00327D7E" w:rsidP="00B67052">
            <w:pPr>
              <w:widowControl/>
              <w:numPr>
                <w:ilvl w:val="0"/>
                <w:numId w:val="48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委外實體審查機制（與韓國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/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中國等國合作）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：阿聯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酋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經濟部為了克服內部技術審查人員不足的問題，與韓國專利廳（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KIPO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）、中國國家知識產權局（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CNIPA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）以及歐洲專利局（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EPO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）簽有密切的審查合作協議。阿聯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酋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國家案的檢索與實體審查，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實務上多直接由這些國際一流專利局的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審查員代為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執行並出具報告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，審查標準完全與國際對齊。</w:t>
            </w:r>
          </w:p>
          <w:p w:rsidR="00327D7E" w:rsidRPr="00327D7E" w:rsidRDefault="00327D7E" w:rsidP="00B67052">
            <w:pPr>
              <w:widowControl/>
              <w:numPr>
                <w:ilvl w:val="0"/>
                <w:numId w:val="48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工業設計保護期大幅拉長至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20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：根據新法實施的新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規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，阿聯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酋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對工業設計的保護力度躍居全球前列，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保護期限由過往的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10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年直接拉長一倍至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20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，並引進了快速登記公告機制，大幅利於時尚、消費性電子與汽車外觀在當地的保護。</w:t>
            </w:r>
          </w:p>
          <w:p w:rsidR="00327D7E" w:rsidRPr="00327D7E" w:rsidRDefault="00327D7E" w:rsidP="00B67052">
            <w:pPr>
              <w:widowControl/>
              <w:numPr>
                <w:ilvl w:val="0"/>
                <w:numId w:val="48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發明與新型可互相轉換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：申請案在形式或實體審查階段，如果申請人預見發明專利可能因進步性不足而遭到拒絕，可以在官方發出最終決定前，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申請將發明專利「轉換（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Conversion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）」為新型專利（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Utility Certificate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，以保留其原始優先權日。</w:t>
            </w:r>
          </w:p>
          <w:p w:rsidR="00327D7E" w:rsidRPr="00327D7E" w:rsidRDefault="00327D7E" w:rsidP="00B67052">
            <w:pPr>
              <w:widowControl/>
              <w:numPr>
                <w:ilvl w:val="0"/>
                <w:numId w:val="48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12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個月新穎性寬限期（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Grace Period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：阿聯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酋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提供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12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的新穎性優惠期，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包含「發明人自己或其授權者」主動公開、展出或發表該技術的行為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。只要在首次公開之日起算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1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年內向阿聯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酋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經濟部提交申請，皆不會破壞其新穎性。</w:t>
            </w:r>
          </w:p>
          <w:p w:rsidR="00327D7E" w:rsidRPr="00327D7E" w:rsidRDefault="00327D7E" w:rsidP="00B67052">
            <w:pPr>
              <w:widowControl/>
              <w:numPr>
                <w:ilvl w:val="0"/>
                <w:numId w:val="48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雙語提交與雙重翻譯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：外國申請人在阿聯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酋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提交專利時，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必須強制同時提交「英文」與「阿拉伯文」兩種語言的說明書與權利要求書（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Claims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。由於阿聯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酋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官方主要以英文審查文件，而當地法院訴訟則強制使用阿拉伯文，兩者翻譯的精確度與一致性極其重要。</w:t>
            </w:r>
          </w:p>
          <w:p w:rsidR="0092228A" w:rsidRPr="00327D7E" w:rsidRDefault="00327D7E" w:rsidP="00B67052">
            <w:pPr>
              <w:widowControl/>
              <w:numPr>
                <w:ilvl w:val="0"/>
                <w:numId w:val="48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強制委託本地合法代理與領事認證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：外國人必須強制委託具有阿聯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酋阿布達比或杜拜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合法執照的註冊智財代理機構辦理。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此外，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提交的法人委任書（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POA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）等文件，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必須強制經過阿聯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駐外大使館的「領事認證（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Legalization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，這項行政手續較為繁瑣且規費高昂。</w:t>
            </w:r>
          </w:p>
        </w:tc>
      </w:tr>
      <w:tr w:rsidR="0092228A" w:rsidRPr="00327D7E" w:rsidTr="0038473A">
        <w:tc>
          <w:tcPr>
            <w:tcW w:w="416" w:type="dxa"/>
            <w:vAlign w:val="center"/>
          </w:tcPr>
          <w:p w:rsidR="0092228A" w:rsidRPr="00327D7E" w:rsidRDefault="0092228A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專利爭議侵權</w:t>
            </w:r>
          </w:p>
        </w:tc>
        <w:tc>
          <w:tcPr>
            <w:tcW w:w="10182" w:type="dxa"/>
          </w:tcPr>
          <w:p w:rsidR="00327D7E" w:rsidRPr="00327D7E" w:rsidRDefault="00327D7E" w:rsidP="00B67052">
            <w:pPr>
              <w:widowControl/>
              <w:numPr>
                <w:ilvl w:val="0"/>
                <w:numId w:val="49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法院訴訟與經濟部（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MoE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）行政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雙軌維權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：阿聯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酋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在打擊侵權上提供靈活的雙軌管道：</w:t>
            </w:r>
          </w:p>
          <w:p w:rsidR="00327D7E" w:rsidRPr="00327D7E" w:rsidRDefault="00327D7E" w:rsidP="00B67052">
            <w:pPr>
              <w:widowControl/>
              <w:numPr>
                <w:ilvl w:val="1"/>
                <w:numId w:val="49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>
              <w:rPr>
                <w:rFonts w:ascii="Arial" w:eastAsia="新細明體" w:hAnsi="Arial" w:cs="Arial" w:hint="eastAsia"/>
                <w:b/>
                <w:bCs/>
                <w:kern w:val="0"/>
                <w:sz w:val="20"/>
                <w:szCs w:val="20"/>
              </w:rPr>
              <w:t xml:space="preserve">  </w:t>
            </w: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行政申訴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：權利人可直接向阿聯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酋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經濟部（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MoE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）內設的專責委員會提起行政投訴，委員會可在幾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週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內迅速調查，並發出停止侵權命令、沒收產品並處以行政罰鍰。</w:t>
            </w:r>
          </w:p>
          <w:p w:rsidR="00327D7E" w:rsidRPr="00327D7E" w:rsidRDefault="00327D7E" w:rsidP="00B67052">
            <w:pPr>
              <w:widowControl/>
              <w:numPr>
                <w:ilvl w:val="1"/>
                <w:numId w:val="49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>
              <w:rPr>
                <w:rFonts w:ascii="Arial" w:eastAsia="新細明體" w:hAnsi="Arial" w:cs="Arial" w:hint="eastAsia"/>
                <w:b/>
                <w:bCs/>
                <w:kern w:val="0"/>
                <w:sz w:val="20"/>
                <w:szCs w:val="20"/>
              </w:rPr>
              <w:t xml:space="preserve">  </w:t>
            </w: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民事訴訟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：若要請求鉅額損害賠償，則須向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阿聯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聯邦法院（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Federal Courts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或杜拜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、阿布達比的當地民事法院提起訴訟。</w:t>
            </w:r>
          </w:p>
          <w:p w:rsidR="00327D7E" w:rsidRPr="00327D7E" w:rsidRDefault="00327D7E" w:rsidP="00B67052">
            <w:pPr>
              <w:widowControl/>
              <w:numPr>
                <w:ilvl w:val="0"/>
                <w:numId w:val="49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判定原則（特別重視字面文義與全要件）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</w:t>
            </w:r>
          </w:p>
          <w:p w:rsidR="00327D7E" w:rsidRPr="00327D7E" w:rsidRDefault="00327D7E" w:rsidP="00B67052">
            <w:pPr>
              <w:widowControl/>
              <w:numPr>
                <w:ilvl w:val="1"/>
                <w:numId w:val="49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  </w:t>
            </w: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阿聯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酋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法院在判定技術侵權時，極度遵循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文義侵權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Literal Infringement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）與全要件原則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，逐一比對被告產品是否具備專利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Claims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中的每一個字面特徵。</w:t>
            </w:r>
          </w:p>
          <w:p w:rsidR="00327D7E" w:rsidRPr="00327D7E" w:rsidRDefault="00327D7E" w:rsidP="00B67052">
            <w:pPr>
              <w:widowControl/>
              <w:numPr>
                <w:ilvl w:val="1"/>
                <w:numId w:val="49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  </w:t>
            </w: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對於等同原則（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Doctrine of Equivalents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），由於阿聯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酋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屬於大陸法系體系，法官在沒有明確條文規定下，對「等同侵權」的判定持非常謹慎、甚至機械化的態度。若被告產品更改了非核心結構或使用了替代手段，原告面臨的技術比對舉證壓力非常高。</w:t>
            </w:r>
          </w:p>
          <w:p w:rsidR="00327D7E" w:rsidRPr="00327D7E" w:rsidRDefault="00327D7E" w:rsidP="00B67052">
            <w:pPr>
              <w:widowControl/>
              <w:numPr>
                <w:ilvl w:val="0"/>
                <w:numId w:val="49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lastRenderedPageBreak/>
              <w:t></w:t>
            </w:r>
            <w:r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高效率的刑事與民事突擊扣押（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Preservation Case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：雖然等同判定保守，但阿聯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酋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法院在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保全證據（先行取證）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上效率極高。原告在正式提起民事訴訟前，可以向法院申請假處分，由法官指派獨立技術專家，在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警察與執達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吏的陪同下，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突擊前往被告位於杜拜自由貿易區或當地的倉庫、工廠，直接「現場錄影、清點並查封扣押」涉嫌侵權的產品與銷售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帳冊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，防止被告隱匿證據。</w:t>
            </w:r>
          </w:p>
          <w:p w:rsidR="00327D7E" w:rsidRPr="00327D7E" w:rsidRDefault="00327D7E" w:rsidP="00B67052">
            <w:pPr>
              <w:widowControl/>
              <w:numPr>
                <w:ilvl w:val="0"/>
                <w:numId w:val="49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懲罰性損害賠償之缺乏與損害估算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：被判定侵權成立時，法院會判處永久禁令與實際損害賠償。損害賠償的計算多以「權利人所受的實質營業損失」或「侵權人的非法利潤」為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準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。但阿聯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酋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法律目前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不適用英美法系的懲罰性三倍賠償（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Punitive Damages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  <w:p w:rsidR="00327D7E" w:rsidRPr="00327D7E" w:rsidRDefault="00327D7E" w:rsidP="00B67052">
            <w:pPr>
              <w:widowControl/>
              <w:numPr>
                <w:ilvl w:val="0"/>
                <w:numId w:val="49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海關邊境備案高強度攔截（以杜拜最為發達）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：阿聯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酋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各大海關（尤其是中東最大的杜拜港與自由貿易區海關）擁有非常成熟的智慧財產權海關備案系統。專利與設計在獲證後可直接向海關登記。一旦海關在邊境查獲涉嫌侵權、過境或轉口的仿冒貨物，會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主動通知權利人配合鑑定並就地扣留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，是防堵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海外侵權品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流入中東的樞紐防線。</w:t>
            </w:r>
          </w:p>
          <w:p w:rsidR="0092228A" w:rsidRPr="00327D7E" w:rsidRDefault="00327D7E" w:rsidP="00B67052">
            <w:pPr>
              <w:widowControl/>
              <w:numPr>
                <w:ilvl w:val="0"/>
                <w:numId w:val="49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消滅時效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：專利侵權損害賠償的民事請求權時效，通常為自權利人「知悉侵權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行為及侵權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人」之日起算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3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</w:tc>
      </w:tr>
    </w:tbl>
    <w:p w:rsidR="0000519D" w:rsidRPr="00327D7E" w:rsidRDefault="0000519D">
      <w:pPr>
        <w:widowControl/>
        <w:rPr>
          <w:sz w:val="20"/>
          <w:szCs w:val="20"/>
        </w:rPr>
      </w:pPr>
      <w:bookmarkStart w:id="0" w:name="_GoBack"/>
      <w:bookmarkEnd w:id="0"/>
    </w:p>
    <w:sectPr w:rsidR="0000519D" w:rsidRPr="00327D7E" w:rsidSect="002B241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71825"/>
    <w:multiLevelType w:val="multilevel"/>
    <w:tmpl w:val="CFB8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D42204"/>
    <w:multiLevelType w:val="multilevel"/>
    <w:tmpl w:val="7978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2A0D8B"/>
    <w:multiLevelType w:val="multilevel"/>
    <w:tmpl w:val="66F2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4E7D4E"/>
    <w:multiLevelType w:val="multilevel"/>
    <w:tmpl w:val="EACC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DD20A1"/>
    <w:multiLevelType w:val="multilevel"/>
    <w:tmpl w:val="D454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4205A6"/>
    <w:multiLevelType w:val="multilevel"/>
    <w:tmpl w:val="E660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CE7B6F"/>
    <w:multiLevelType w:val="multilevel"/>
    <w:tmpl w:val="391AF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4A35C8A"/>
    <w:multiLevelType w:val="multilevel"/>
    <w:tmpl w:val="C176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E26F2B"/>
    <w:multiLevelType w:val="multilevel"/>
    <w:tmpl w:val="4CFCC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E8A5424"/>
    <w:multiLevelType w:val="multilevel"/>
    <w:tmpl w:val="4480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4A7591"/>
    <w:multiLevelType w:val="multilevel"/>
    <w:tmpl w:val="0C22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ED130E"/>
    <w:multiLevelType w:val="multilevel"/>
    <w:tmpl w:val="603C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8B42EE"/>
    <w:multiLevelType w:val="multilevel"/>
    <w:tmpl w:val="B40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EC47AA"/>
    <w:multiLevelType w:val="multilevel"/>
    <w:tmpl w:val="F04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416C7D"/>
    <w:multiLevelType w:val="multilevel"/>
    <w:tmpl w:val="7344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361767"/>
    <w:multiLevelType w:val="multilevel"/>
    <w:tmpl w:val="E61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0A603E"/>
    <w:multiLevelType w:val="multilevel"/>
    <w:tmpl w:val="C4F2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43061D"/>
    <w:multiLevelType w:val="multilevel"/>
    <w:tmpl w:val="5DE2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773A08"/>
    <w:multiLevelType w:val="multilevel"/>
    <w:tmpl w:val="FC8A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880F7B"/>
    <w:multiLevelType w:val="multilevel"/>
    <w:tmpl w:val="10AE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5C6478"/>
    <w:multiLevelType w:val="multilevel"/>
    <w:tmpl w:val="56C4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C21A57"/>
    <w:multiLevelType w:val="multilevel"/>
    <w:tmpl w:val="703A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5B183E"/>
    <w:multiLevelType w:val="multilevel"/>
    <w:tmpl w:val="5200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240B92"/>
    <w:multiLevelType w:val="multilevel"/>
    <w:tmpl w:val="27927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B0304A6"/>
    <w:multiLevelType w:val="multilevel"/>
    <w:tmpl w:val="E7C4F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06B60D2"/>
    <w:multiLevelType w:val="multilevel"/>
    <w:tmpl w:val="5936D8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4F4622B"/>
    <w:multiLevelType w:val="multilevel"/>
    <w:tmpl w:val="B3B8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90A1B6C"/>
    <w:multiLevelType w:val="multilevel"/>
    <w:tmpl w:val="7E9E191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20128F"/>
    <w:multiLevelType w:val="multilevel"/>
    <w:tmpl w:val="579E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632E3B"/>
    <w:multiLevelType w:val="multilevel"/>
    <w:tmpl w:val="98B6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BA64B85"/>
    <w:multiLevelType w:val="multilevel"/>
    <w:tmpl w:val="D99CEB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BCC6494"/>
    <w:multiLevelType w:val="multilevel"/>
    <w:tmpl w:val="94FA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E74F33"/>
    <w:multiLevelType w:val="multilevel"/>
    <w:tmpl w:val="487651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F9772EE"/>
    <w:multiLevelType w:val="multilevel"/>
    <w:tmpl w:val="E1A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03A490D"/>
    <w:multiLevelType w:val="multilevel"/>
    <w:tmpl w:val="8F6A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08B7C6C"/>
    <w:multiLevelType w:val="multilevel"/>
    <w:tmpl w:val="FCE2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36C02A7"/>
    <w:multiLevelType w:val="multilevel"/>
    <w:tmpl w:val="D97C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4C704CD"/>
    <w:multiLevelType w:val="multilevel"/>
    <w:tmpl w:val="A6FC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7322985"/>
    <w:multiLevelType w:val="multilevel"/>
    <w:tmpl w:val="2C92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8C75A7A"/>
    <w:multiLevelType w:val="multilevel"/>
    <w:tmpl w:val="7F54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9801B25"/>
    <w:multiLevelType w:val="multilevel"/>
    <w:tmpl w:val="01BC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AB32F3D"/>
    <w:multiLevelType w:val="multilevel"/>
    <w:tmpl w:val="CFF8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B0322E6"/>
    <w:multiLevelType w:val="multilevel"/>
    <w:tmpl w:val="12DE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C2B6BC2"/>
    <w:multiLevelType w:val="multilevel"/>
    <w:tmpl w:val="6F84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E091374"/>
    <w:multiLevelType w:val="multilevel"/>
    <w:tmpl w:val="DCBE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1D53EBA"/>
    <w:multiLevelType w:val="multilevel"/>
    <w:tmpl w:val="4B72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CB165E1"/>
    <w:multiLevelType w:val="multilevel"/>
    <w:tmpl w:val="79E6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EDB6807"/>
    <w:multiLevelType w:val="multilevel"/>
    <w:tmpl w:val="2054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F77415D"/>
    <w:multiLevelType w:val="multilevel"/>
    <w:tmpl w:val="79EA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33"/>
  </w:num>
  <w:num w:numId="3">
    <w:abstractNumId w:val="8"/>
  </w:num>
  <w:num w:numId="4">
    <w:abstractNumId w:val="21"/>
  </w:num>
  <w:num w:numId="5">
    <w:abstractNumId w:val="45"/>
  </w:num>
  <w:num w:numId="6">
    <w:abstractNumId w:val="39"/>
  </w:num>
  <w:num w:numId="7">
    <w:abstractNumId w:val="11"/>
  </w:num>
  <w:num w:numId="8">
    <w:abstractNumId w:val="0"/>
  </w:num>
  <w:num w:numId="9">
    <w:abstractNumId w:val="25"/>
  </w:num>
  <w:num w:numId="10">
    <w:abstractNumId w:val="41"/>
  </w:num>
  <w:num w:numId="11">
    <w:abstractNumId w:val="22"/>
  </w:num>
  <w:num w:numId="12">
    <w:abstractNumId w:val="6"/>
  </w:num>
  <w:num w:numId="13">
    <w:abstractNumId w:val="14"/>
  </w:num>
  <w:num w:numId="14">
    <w:abstractNumId w:val="32"/>
  </w:num>
  <w:num w:numId="15">
    <w:abstractNumId w:val="26"/>
  </w:num>
  <w:num w:numId="16">
    <w:abstractNumId w:val="27"/>
  </w:num>
  <w:num w:numId="17">
    <w:abstractNumId w:val="10"/>
  </w:num>
  <w:num w:numId="18">
    <w:abstractNumId w:val="23"/>
  </w:num>
  <w:num w:numId="19">
    <w:abstractNumId w:val="3"/>
  </w:num>
  <w:num w:numId="20">
    <w:abstractNumId w:val="30"/>
  </w:num>
  <w:num w:numId="21">
    <w:abstractNumId w:val="20"/>
  </w:num>
  <w:num w:numId="22">
    <w:abstractNumId w:val="28"/>
  </w:num>
  <w:num w:numId="23">
    <w:abstractNumId w:val="24"/>
  </w:num>
  <w:num w:numId="24">
    <w:abstractNumId w:val="2"/>
  </w:num>
  <w:num w:numId="25">
    <w:abstractNumId w:val="40"/>
  </w:num>
  <w:num w:numId="26">
    <w:abstractNumId w:val="9"/>
  </w:num>
  <w:num w:numId="27">
    <w:abstractNumId w:val="35"/>
  </w:num>
  <w:num w:numId="28">
    <w:abstractNumId w:val="13"/>
  </w:num>
  <w:num w:numId="29">
    <w:abstractNumId w:val="34"/>
  </w:num>
  <w:num w:numId="30">
    <w:abstractNumId w:val="7"/>
  </w:num>
  <w:num w:numId="31">
    <w:abstractNumId w:val="18"/>
  </w:num>
  <w:num w:numId="32">
    <w:abstractNumId w:val="19"/>
  </w:num>
  <w:num w:numId="33">
    <w:abstractNumId w:val="12"/>
  </w:num>
  <w:num w:numId="34">
    <w:abstractNumId w:val="31"/>
  </w:num>
  <w:num w:numId="35">
    <w:abstractNumId w:val="4"/>
  </w:num>
  <w:num w:numId="36">
    <w:abstractNumId w:val="48"/>
  </w:num>
  <w:num w:numId="37">
    <w:abstractNumId w:val="44"/>
  </w:num>
  <w:num w:numId="38">
    <w:abstractNumId w:val="17"/>
  </w:num>
  <w:num w:numId="39">
    <w:abstractNumId w:val="29"/>
  </w:num>
  <w:num w:numId="40">
    <w:abstractNumId w:val="42"/>
  </w:num>
  <w:num w:numId="41">
    <w:abstractNumId w:val="5"/>
  </w:num>
  <w:num w:numId="42">
    <w:abstractNumId w:val="16"/>
  </w:num>
  <w:num w:numId="43">
    <w:abstractNumId w:val="43"/>
  </w:num>
  <w:num w:numId="44">
    <w:abstractNumId w:val="15"/>
  </w:num>
  <w:num w:numId="45">
    <w:abstractNumId w:val="47"/>
  </w:num>
  <w:num w:numId="46">
    <w:abstractNumId w:val="38"/>
  </w:num>
  <w:num w:numId="47">
    <w:abstractNumId w:val="37"/>
  </w:num>
  <w:num w:numId="48">
    <w:abstractNumId w:val="1"/>
  </w:num>
  <w:num w:numId="49">
    <w:abstractNumId w:val="36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418"/>
    <w:rsid w:val="0000519D"/>
    <w:rsid w:val="000132D8"/>
    <w:rsid w:val="00021DB5"/>
    <w:rsid w:val="00061066"/>
    <w:rsid w:val="00114651"/>
    <w:rsid w:val="00157317"/>
    <w:rsid w:val="00180C6A"/>
    <w:rsid w:val="00207493"/>
    <w:rsid w:val="00221986"/>
    <w:rsid w:val="002268FE"/>
    <w:rsid w:val="002614B9"/>
    <w:rsid w:val="00281ED7"/>
    <w:rsid w:val="002B2418"/>
    <w:rsid w:val="00304F0E"/>
    <w:rsid w:val="00311A04"/>
    <w:rsid w:val="00326595"/>
    <w:rsid w:val="00327D7E"/>
    <w:rsid w:val="00335F1C"/>
    <w:rsid w:val="00335FF7"/>
    <w:rsid w:val="00351403"/>
    <w:rsid w:val="0038473A"/>
    <w:rsid w:val="003934F9"/>
    <w:rsid w:val="003A72A6"/>
    <w:rsid w:val="003D135A"/>
    <w:rsid w:val="003F0011"/>
    <w:rsid w:val="00405226"/>
    <w:rsid w:val="00467E37"/>
    <w:rsid w:val="0047427D"/>
    <w:rsid w:val="004B580E"/>
    <w:rsid w:val="00520620"/>
    <w:rsid w:val="00536559"/>
    <w:rsid w:val="00546396"/>
    <w:rsid w:val="00582563"/>
    <w:rsid w:val="00617570"/>
    <w:rsid w:val="00617FEB"/>
    <w:rsid w:val="0064347F"/>
    <w:rsid w:val="00673D4D"/>
    <w:rsid w:val="0069358F"/>
    <w:rsid w:val="00693E2E"/>
    <w:rsid w:val="006B1F6B"/>
    <w:rsid w:val="00703A18"/>
    <w:rsid w:val="00707DF0"/>
    <w:rsid w:val="00751E8C"/>
    <w:rsid w:val="00764FF5"/>
    <w:rsid w:val="007B3EB0"/>
    <w:rsid w:val="007C4A0E"/>
    <w:rsid w:val="007E4ADC"/>
    <w:rsid w:val="007F3301"/>
    <w:rsid w:val="007F7E9A"/>
    <w:rsid w:val="00800831"/>
    <w:rsid w:val="008164E3"/>
    <w:rsid w:val="00832E41"/>
    <w:rsid w:val="00861D0B"/>
    <w:rsid w:val="00871FC8"/>
    <w:rsid w:val="0087517A"/>
    <w:rsid w:val="00883F16"/>
    <w:rsid w:val="008D1B6E"/>
    <w:rsid w:val="008F4EE6"/>
    <w:rsid w:val="0092228A"/>
    <w:rsid w:val="0093317A"/>
    <w:rsid w:val="0097671F"/>
    <w:rsid w:val="00976859"/>
    <w:rsid w:val="009874D8"/>
    <w:rsid w:val="009E242B"/>
    <w:rsid w:val="009F73AC"/>
    <w:rsid w:val="00A21A77"/>
    <w:rsid w:val="00A24D8F"/>
    <w:rsid w:val="00A31B11"/>
    <w:rsid w:val="00A323F0"/>
    <w:rsid w:val="00A377C6"/>
    <w:rsid w:val="00A40DD4"/>
    <w:rsid w:val="00AE0F46"/>
    <w:rsid w:val="00AF652F"/>
    <w:rsid w:val="00B1669C"/>
    <w:rsid w:val="00B312BB"/>
    <w:rsid w:val="00B63ACC"/>
    <w:rsid w:val="00B67052"/>
    <w:rsid w:val="00B67EFB"/>
    <w:rsid w:val="00B75DE5"/>
    <w:rsid w:val="00B8067C"/>
    <w:rsid w:val="00B80AFA"/>
    <w:rsid w:val="00BA3845"/>
    <w:rsid w:val="00BB209B"/>
    <w:rsid w:val="00BB50E0"/>
    <w:rsid w:val="00C9490D"/>
    <w:rsid w:val="00CF5C39"/>
    <w:rsid w:val="00D222AA"/>
    <w:rsid w:val="00D65FB0"/>
    <w:rsid w:val="00D97121"/>
    <w:rsid w:val="00DB7E6F"/>
    <w:rsid w:val="00DC2B0F"/>
    <w:rsid w:val="00DC65BD"/>
    <w:rsid w:val="00DF138F"/>
    <w:rsid w:val="00E031AE"/>
    <w:rsid w:val="00E143F6"/>
    <w:rsid w:val="00E333F6"/>
    <w:rsid w:val="00E4178B"/>
    <w:rsid w:val="00EE1147"/>
    <w:rsid w:val="00EE47AD"/>
    <w:rsid w:val="00EF323B"/>
    <w:rsid w:val="00F45DFA"/>
    <w:rsid w:val="00F46448"/>
    <w:rsid w:val="00F52C54"/>
    <w:rsid w:val="00F67F41"/>
    <w:rsid w:val="00F7564B"/>
    <w:rsid w:val="00FC24E6"/>
    <w:rsid w:val="00FE2FBD"/>
    <w:rsid w:val="00FF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20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23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40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719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48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128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559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6462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3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56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63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629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93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31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3115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03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17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0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291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9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4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16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39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6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51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94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7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31424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86984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90904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51857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3538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55211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11888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75514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66278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7252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0730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53881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41595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44880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1035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8244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87222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7576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9935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43849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5748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6780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2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3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3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23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2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91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801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63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41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35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72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09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3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688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24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145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613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493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224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1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871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0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DFDCE3-D45C-499D-A6C6-A73BF5B3AE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2026-08-05T00:52:00Z</dcterms:created>
  <dcterms:modified xsi:type="dcterms:W3CDTF">2026-08-05T00:53:00Z</dcterms:modified>
</cp:coreProperties>
</file>