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EFB" w:rsidRPr="00327D7E" w:rsidRDefault="00B67EFB" w:rsidP="00221986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加拿大</w:t>
      </w:r>
      <w:r w:rsidR="00536559">
        <w:rPr>
          <w:rFonts w:hint="eastAsia"/>
          <w:sz w:val="20"/>
          <w:szCs w:val="20"/>
        </w:rPr>
        <w:t>專利</w:t>
      </w:r>
    </w:p>
    <w:p w:rsidR="00221986" w:rsidRPr="00327D7E" w:rsidRDefault="00BB209B" w:rsidP="00221986">
      <w:pPr>
        <w:jc w:val="center"/>
        <w:rPr>
          <w:sz w:val="20"/>
          <w:szCs w:val="20"/>
        </w:rPr>
      </w:pPr>
      <w:r>
        <w:t>CIPO</w:t>
      </w:r>
      <w:r w:rsidR="00221986" w:rsidRPr="00327D7E">
        <w:rPr>
          <w:rFonts w:hint="eastAsia"/>
          <w:sz w:val="20"/>
          <w:szCs w:val="20"/>
        </w:rPr>
        <w:t>網址：</w:t>
      </w:r>
      <w:r w:rsidRPr="00BB209B">
        <w:rPr>
          <w:sz w:val="20"/>
          <w:szCs w:val="20"/>
        </w:rPr>
        <w:t>https://www.canada.ca/en.html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B67EFB" w:rsidRPr="00327D7E" w:rsidTr="00B67EFB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B67EFB" w:rsidRPr="00327D7E" w:rsidTr="00B67EFB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具備新穎性、進步性與產業利用性的全新且實用的藝術、工藝、機器、製造品或物質組成。</w:t>
                  </w:r>
                </w:p>
              </w:tc>
            </w:tr>
            <w:tr w:rsidR="00B67EFB" w:rsidRPr="00327D7E" w:rsidTr="00B67EFB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加拿大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B67EFB" w:rsidRPr="00327D7E" w:rsidTr="00B67EFB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（若於核准後續繳年費，最長為自申請日起算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實體審查制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（審查新穎性）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應用於成品上，由形狀、配置、圖案或裝飾組成的創新視覺特徵（含數位產品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GUI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</w:tbl>
          <w:p w:rsidR="00221986" w:rsidRPr="00327D7E" w:rsidRDefault="00221986" w:rsidP="00B67EFB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67EFB" w:rsidRPr="00B67EFB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超額權利要求費與限縮（最新規範）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：加拿大已全面實施超額權利要求費（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Excess Claim Fees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）機制。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凡是超過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20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項的權利要求，在提出實體審查以及最後核准發證時，皆會被按件加收高額官方規費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。這促使跨國申請人必須在提審前大幅精簡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Claim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數量。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縮短主動提審時限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：為加快整體審查進度，加拿大將主動提交「實體審查請求（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Examination Request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）」的法定期限，由原先的申請日起算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大幅縮短為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PCT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案件則自國際申請日起算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年）。若未在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年內提審且未繳費，案件將直接被視為撤回。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：加拿大擁有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的新穎性優惠期。與歐洲、中國極度嚴格的限制不同，加拿大的寬限期相對寬鬆，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包含「發明人自己（或其前手）主動公開或銷售」該技術的行為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，只要在公開日起算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年內向加拿大遞交申請，皆不會喪失新穎性。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排除純商業方法與純演算法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：加拿大最高法院與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審查指南明確規定，單純的商業方法、博弈遊戲或純數學演算法無法獲得專利。但如果軟體發明能夠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與實體硬體元素相結合，並解決了實體電腦運作中的技術問題（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Technical Problem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，則具備可專利性。</w:t>
            </w:r>
          </w:p>
          <w:p w:rsidR="00221986" w:rsidRPr="00327D7E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強制委託加拿大本地代理人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：外國申請人若在加拿大境內沒有常住地址或主要營業場所，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必須強制委託居住於加拿大當地的註冊專利代理人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聯邦法院集中管轄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：雖然各省的高等法院（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Superior Courts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）在法律上有權受理專利訴訟，但實務上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99%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的加拿大專利侵權訴訟與無效宣告反訴，皆統一由加拿大聯邦法院（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Federal Court of Canada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）審理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。聯邦法院的判決直接在全國具備法律效力，且法官具備高度的智財審判專業。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判定原則（目的性解釋原則與等同）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67EFB" w:rsidRPr="00B67EFB" w:rsidRDefault="00B67EFB" w:rsidP="00B67052">
            <w:pPr>
              <w:widowControl/>
              <w:numPr>
                <w:ilvl w:val="1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加拿大法院在技術侵權判定上，嚴格遵循最高法院確立的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「目的性解釋原則（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Purposive Construction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B67EFB" w:rsidRPr="00B67EFB" w:rsidRDefault="00B67EFB" w:rsidP="00B67052">
            <w:pPr>
              <w:widowControl/>
              <w:numPr>
                <w:ilvl w:val="1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法官會站在該領域普通技術人員（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PHOSITA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）的角度，去判斷權利要求書中的某些技術特徵是「本質特徵（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Essential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）」還是「非本質特徵（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Non-essential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）」。</w:t>
            </w:r>
          </w:p>
          <w:p w:rsidR="00B67EFB" w:rsidRPr="00B67EFB" w:rsidRDefault="00B67EFB" w:rsidP="00B67052">
            <w:pPr>
              <w:widowControl/>
              <w:numPr>
                <w:ilvl w:val="1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如果被告產品僅是替換了「非本質特徵」，且該替換在專利公開時對該技術人員是顯而易見的、亦未改變發明的運作方式，法院即會判定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成立。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引進「申請歷史檔案」作為抗辯依據（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Prosecution History Estoppel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：加拿大專利法特別規定，在侵權訴訟中，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允許引入申請人在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CIPO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審查階段與審查委員之間的書信往返紀錄（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File Wrapper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。若發明人過去為了獲證而主動限縮了權利範圍，在訴訟中就不能再透過等同原則主張要回。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醫藥專利連結制度（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PMNOC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：針對生技醫藥產業，加拿大設有極為嚴格的《專利藥品（合格通知）條例》（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PMNOC Regulations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）。原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廠藥企可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將專利登記在清單上，當學名藥廠（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Generic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）欲申請上市時，必須先向原廠發出通知，雙方將在聯邦法院直接展開速審，以決定是否在藥品上市前發出禁令。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lastRenderedPageBreak/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救濟方式（損害賠償與利潤返還二選一）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：原告勝訴後，除了可獲得永久禁令外，在金錢賠償上可選擇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「權利人所受的實際損害與所失利益（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，或是要求被告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「交出並返還因侵權所賺取的全部利潤（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Accounting of Profits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，這為權利人提供了極大的商業求償彈性。</w:t>
            </w:r>
          </w:p>
          <w:p w:rsidR="00221986" w:rsidRPr="00327D7E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：加拿大專利侵權訴訟的追訴與損害賠償請求權時效，為自侵權行為發生之日起算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221986" w:rsidRPr="00327D7E" w:rsidRDefault="00221986" w:rsidP="00221986">
      <w:pPr>
        <w:jc w:val="center"/>
        <w:rPr>
          <w:sz w:val="20"/>
          <w:szCs w:val="20"/>
        </w:rPr>
      </w:pPr>
      <w:bookmarkStart w:id="0" w:name="_GoBack"/>
      <w:bookmarkEnd w:id="0"/>
    </w:p>
    <w:sectPr w:rsidR="00221986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F37872-F48C-410C-A913-42F6FC378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2026-08-05T00:50:00Z</dcterms:created>
  <dcterms:modified xsi:type="dcterms:W3CDTF">2026-08-05T00:50:00Z</dcterms:modified>
</cp:coreProperties>
</file>