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831" w:rsidRPr="00327D7E" w:rsidRDefault="00EF323B" w:rsidP="0069358F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德</w:t>
      </w:r>
      <w:r w:rsidR="00800831" w:rsidRPr="00327D7E">
        <w:rPr>
          <w:rFonts w:hint="eastAsia"/>
          <w:sz w:val="20"/>
          <w:szCs w:val="20"/>
        </w:rPr>
        <w:t>國</w:t>
      </w:r>
      <w:r w:rsidR="00536559">
        <w:rPr>
          <w:rFonts w:hint="eastAsia"/>
          <w:sz w:val="20"/>
          <w:szCs w:val="20"/>
        </w:rPr>
        <w:t>專利</w:t>
      </w:r>
    </w:p>
    <w:p w:rsidR="00800831" w:rsidRPr="00327D7E" w:rsidRDefault="00DF138F" w:rsidP="00D65FB0">
      <w:pPr>
        <w:jc w:val="center"/>
        <w:rPr>
          <w:sz w:val="20"/>
          <w:szCs w:val="20"/>
        </w:rPr>
      </w:pPr>
      <w:r w:rsidRPr="00327D7E">
        <w:rPr>
          <w:sz w:val="20"/>
          <w:szCs w:val="20"/>
        </w:rPr>
        <w:t>EPO</w:t>
      </w:r>
      <w:r w:rsidR="00D65FB0" w:rsidRPr="00327D7E">
        <w:rPr>
          <w:rFonts w:hint="eastAsia"/>
          <w:sz w:val="20"/>
          <w:szCs w:val="20"/>
        </w:rPr>
        <w:t>網址：</w:t>
      </w:r>
      <w:r w:rsidRPr="00327D7E">
        <w:rPr>
          <w:sz w:val="20"/>
          <w:szCs w:val="20"/>
        </w:rPr>
        <w:t>https://lsl.sinica.edu.tw/EResources/db/patents.php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EF323B" w:rsidRPr="00327D7E" w:rsidTr="00861D0B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EF323B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EF323B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EF323B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EF323B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保護客體與特點</w:t>
                  </w:r>
                </w:p>
              </w:tc>
            </w:tr>
            <w:tr w:rsidR="00EF323B" w:rsidRPr="00327D7E" w:rsidTr="00C9490D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871FC8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發明專利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 xml:space="preserve"> (Patent)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C9490D">
                  <w:pPr>
                    <w:widowControl/>
                    <w:jc w:val="both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自申請日起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20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C9490D">
                  <w:pPr>
                    <w:widowControl/>
                    <w:jc w:val="both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實體審查制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（需於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7 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年內提請實審）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C9490D">
                  <w:pPr>
                    <w:widowControl/>
                    <w:jc w:val="both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適用於高技術含量的產品或「方法」（製造方法、使用方法）。</w:t>
                  </w:r>
                </w:p>
              </w:tc>
            </w:tr>
            <w:tr w:rsidR="00EF323B" w:rsidRPr="00327D7E" w:rsidTr="00C9490D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871FC8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新型專利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 xml:space="preserve"> (Utility Model)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C9490D">
                  <w:pPr>
                    <w:widowControl/>
                    <w:jc w:val="both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自申請日起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10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C9490D">
                  <w:pPr>
                    <w:widowControl/>
                    <w:jc w:val="both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形式審查制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（登記註冊制，不進行實審）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C9490D">
                  <w:pPr>
                    <w:widowControl/>
                    <w:jc w:val="both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僅保護產品的技術結構，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不保護「方法」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。審查速度極快。</w:t>
                  </w:r>
                </w:p>
              </w:tc>
            </w:tr>
            <w:tr w:rsidR="00EF323B" w:rsidRPr="00327D7E" w:rsidTr="00C9490D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EF323B" w:rsidRPr="00327D7E" w:rsidRDefault="00EF323B" w:rsidP="00871FC8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設計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 xml:space="preserve"> (Design)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EF323B" w:rsidRPr="00327D7E" w:rsidRDefault="00EF323B" w:rsidP="00C9490D">
                  <w:pPr>
                    <w:widowControl/>
                    <w:jc w:val="both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自申請日起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25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EF323B" w:rsidRPr="00327D7E" w:rsidRDefault="00EF323B" w:rsidP="00C9490D">
                  <w:pPr>
                    <w:widowControl/>
                    <w:jc w:val="both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形式審查制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（登記註冊制，不進行實審）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EF323B" w:rsidRPr="00327D7E" w:rsidRDefault="00EF323B" w:rsidP="00C9490D">
                  <w:pPr>
                    <w:widowControl/>
                    <w:jc w:val="both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保護產品的外觀、形狀、色彩或圖案。</w:t>
                  </w:r>
                </w:p>
              </w:tc>
            </w:tr>
          </w:tbl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</w:p>
        </w:tc>
      </w:tr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EF323B" w:rsidRPr="00327D7E" w:rsidRDefault="00EF323B" w:rsidP="00B67052">
            <w:pPr>
              <w:widowControl/>
              <w:numPr>
                <w:ilvl w:val="0"/>
                <w:numId w:val="1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>發明、新型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專利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三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要件</w:t>
            </w:r>
          </w:p>
          <w:p w:rsidR="00EF323B" w:rsidRPr="00327D7E" w:rsidRDefault="00B312BB" w:rsidP="00B67052">
            <w:pPr>
              <w:widowControl/>
              <w:numPr>
                <w:ilvl w:val="0"/>
                <w:numId w:val="1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EF323B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產業上利用性</w:t>
            </w:r>
            <w:r w:rsidR="00EF323B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(Industrial Applicability)</w:t>
            </w:r>
            <w:r w:rsidR="00EF323B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：發明必須能在任何一種產業（包含製造業、農業等）中製造或使用。</w:t>
            </w:r>
          </w:p>
          <w:p w:rsidR="00EF323B" w:rsidRPr="00327D7E" w:rsidRDefault="00B312BB" w:rsidP="00B67052">
            <w:pPr>
              <w:widowControl/>
              <w:numPr>
                <w:ilvl w:val="0"/>
                <w:numId w:val="1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EF323B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新穎性</w:t>
            </w:r>
            <w:r w:rsidR="00EF323B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(Novelty)</w:t>
            </w:r>
            <w:r w:rsidR="00EF323B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：發明必須是</w:t>
            </w:r>
            <w:r w:rsidR="00EF323B"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全新的</w:t>
            </w:r>
            <w:r w:rsidR="00EF323B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。在申請日或優先權日之前，世界上尚未出現過任何公開的相同技術。</w:t>
            </w:r>
          </w:p>
          <w:p w:rsidR="00EF323B" w:rsidRPr="00327D7E" w:rsidRDefault="00B312BB" w:rsidP="00B67052">
            <w:pPr>
              <w:widowControl/>
              <w:numPr>
                <w:ilvl w:val="0"/>
                <w:numId w:val="1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EF323B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進步性</w:t>
            </w:r>
            <w:r w:rsidR="00EF323B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(Inventive Step)</w:t>
            </w:r>
            <w:r w:rsidR="00EF323B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：發明必須具有</w:t>
            </w:r>
            <w:r w:rsidR="00EF323B"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技術突破</w:t>
            </w:r>
            <w:r w:rsidR="00EF323B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。所屬技術領域的專業人士，不能僅憑現有的技術輕易組合或改變來完成您的發明。</w:t>
            </w:r>
          </w:p>
          <w:p w:rsidR="00CF5C39" w:rsidRPr="00327D7E" w:rsidRDefault="00CF5C39" w:rsidP="00B67052">
            <w:pPr>
              <w:widowControl/>
              <w:numPr>
                <w:ilvl w:val="0"/>
                <w:numId w:val="1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設計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(Design)</w:t>
            </w:r>
          </w:p>
          <w:p w:rsidR="00CF5C39" w:rsidRPr="00327D7E" w:rsidRDefault="00B312BB" w:rsidP="00B67052">
            <w:pPr>
              <w:widowControl/>
              <w:numPr>
                <w:ilvl w:val="0"/>
                <w:numId w:val="1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CF5C39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純外觀保護</w:t>
            </w:r>
            <w:r w:rsidR="00CF5C39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：僅保護產品的視覺外觀（如線條、輪廓、色彩、形狀或材料裝飾），不涉及任何技術功能。</w:t>
            </w:r>
          </w:p>
          <w:p w:rsidR="00800831" w:rsidRPr="00327D7E" w:rsidRDefault="00B312BB" w:rsidP="00B67052">
            <w:pPr>
              <w:widowControl/>
              <w:numPr>
                <w:ilvl w:val="0"/>
                <w:numId w:val="1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CF5C39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快速註冊</w:t>
            </w:r>
            <w:r w:rsidR="00CF5C39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：同樣</w:t>
            </w:r>
            <w:proofErr w:type="gramStart"/>
            <w:r w:rsidR="00CF5C39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採</w:t>
            </w:r>
            <w:proofErr w:type="gramEnd"/>
            <w:r w:rsidR="00CF5C39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形式審查，只要文件符合法定格式且不違反善良風俗，即可核准註冊。</w:t>
            </w:r>
          </w:p>
        </w:tc>
      </w:tr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2268FE" w:rsidRPr="00327D7E" w:rsidRDefault="002268FE" w:rsidP="002268FE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德國採用「侵權與無效分離」的雙軌制。地方法院只管專利侵權，聯邦專利法院（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FPC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）管轄無效訴訟。無效訴訟是獨立的法律程序。</w:t>
            </w:r>
          </w:p>
          <w:p w:rsidR="002268FE" w:rsidRPr="00327D7E" w:rsidRDefault="002268FE" w:rsidP="002268FE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兩大主要途徑</w:t>
            </w:r>
          </w:p>
          <w:p w:rsidR="002268FE" w:rsidRPr="00327D7E" w:rsidRDefault="00B312BB" w:rsidP="00B312BB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1. </w:t>
            </w:r>
            <w:r w:rsidR="002268FE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異議程序</w:t>
            </w:r>
            <w:r w:rsidR="002268FE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(Opposition)</w:t>
            </w:r>
          </w:p>
          <w:p w:rsidR="002268FE" w:rsidRPr="00327D7E" w:rsidRDefault="002268FE" w:rsidP="002268FE">
            <w:pPr>
              <w:widowControl/>
              <w:numPr>
                <w:ilvl w:val="0"/>
                <w:numId w:val="4"/>
              </w:num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期限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：專利公告後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9 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月內。</w:t>
            </w:r>
          </w:p>
          <w:p w:rsidR="002268FE" w:rsidRPr="00327D7E" w:rsidRDefault="002268FE" w:rsidP="002268FE">
            <w:pPr>
              <w:widowControl/>
              <w:numPr>
                <w:ilvl w:val="0"/>
                <w:numId w:val="4"/>
              </w:num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受理機關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：德國專利商標局（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DPMA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）。</w:t>
            </w:r>
          </w:p>
          <w:p w:rsidR="002268FE" w:rsidRPr="00327D7E" w:rsidRDefault="002268FE" w:rsidP="002268FE">
            <w:pPr>
              <w:widowControl/>
              <w:numPr>
                <w:ilvl w:val="0"/>
                <w:numId w:val="4"/>
              </w:num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方式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taie.com.tw +1</w:t>
            </w:r>
          </w:p>
          <w:p w:rsidR="002268FE" w:rsidRPr="00327D7E" w:rsidRDefault="00B312BB" w:rsidP="00B312BB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 </w:t>
            </w:r>
            <w:r w:rsidR="002268FE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無效訴訟</w:t>
            </w:r>
            <w:r w:rsidR="002268FE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(Nullity Action)</w:t>
            </w:r>
          </w:p>
          <w:p w:rsidR="002268FE" w:rsidRPr="00327D7E" w:rsidRDefault="002268FE" w:rsidP="002268FE">
            <w:pPr>
              <w:widowControl/>
              <w:numPr>
                <w:ilvl w:val="0"/>
                <w:numId w:val="4"/>
              </w:num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時間點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：異議期滿後，或專利有效期間隨時可提出。</w:t>
            </w:r>
          </w:p>
          <w:p w:rsidR="002268FE" w:rsidRPr="00327D7E" w:rsidRDefault="002268FE" w:rsidP="002268FE">
            <w:pPr>
              <w:widowControl/>
              <w:numPr>
                <w:ilvl w:val="0"/>
                <w:numId w:val="4"/>
              </w:num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受理機關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：聯邦專利法院（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FPC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）。</w:t>
            </w:r>
          </w:p>
          <w:p w:rsidR="002268FE" w:rsidRPr="00327D7E" w:rsidRDefault="002268FE" w:rsidP="002268FE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雙軌制程序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：德國將「侵權訴訟」與「無效訴訟」完全分開。</w:t>
            </w:r>
          </w:p>
          <w:p w:rsidR="002268FE" w:rsidRPr="00327D7E" w:rsidRDefault="002268FE" w:rsidP="002268FE">
            <w:pPr>
              <w:widowControl/>
              <w:numPr>
                <w:ilvl w:val="0"/>
                <w:numId w:val="4"/>
              </w:num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侵權訴訟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：由各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民事地方法院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管轄，專門審理被告是否有侵權事實。</w:t>
            </w:r>
          </w:p>
          <w:p w:rsidR="002268FE" w:rsidRPr="00327D7E" w:rsidRDefault="002268FE" w:rsidP="002268FE">
            <w:pPr>
              <w:widowControl/>
              <w:numPr>
                <w:ilvl w:val="0"/>
                <w:numId w:val="4"/>
              </w:num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無效訴訟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：民事法院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無權判定專利無效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。被告若要抗辯專利無效，必須另向位於慕尼黑的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聯邦專利法院（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FPC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提起無效之訴。</w:t>
            </w:r>
          </w:p>
          <w:p w:rsidR="002268FE" w:rsidRPr="00327D7E" w:rsidRDefault="002268FE" w:rsidP="002268FE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訴訟不同步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：民事法院審理侵權的速度通常比專利法院審理無效的速度快。這意味著在專利被判定無效之前，民事法院可能就已經先判決侵權成立並核發禁制令。</w:t>
            </w:r>
          </w:p>
          <w:p w:rsidR="002268FE" w:rsidRPr="00327D7E" w:rsidRDefault="002268FE" w:rsidP="002268FE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快速禁制令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：在證據明確且具急迫性的情況下（如國際商展上有侵權產品展出），德國法院可在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 xml:space="preserve">24 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小時內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核發暫時禁制令，禁止侵權產品進口或販售。</w:t>
            </w:r>
          </w:p>
          <w:p w:rsidR="00800831" w:rsidRPr="00327D7E" w:rsidRDefault="002268FE" w:rsidP="002268FE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比例原則與寬限期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：根據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  <w:u w:val="single"/>
              </w:rPr>
              <w:t>德國專利法第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  <w:u w:val="single"/>
              </w:rPr>
              <w:t xml:space="preserve"> 139 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  <w:u w:val="single"/>
              </w:rPr>
              <w:t>條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的修訂，若核發禁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制令會對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被告或第三人造成不成比例的嚴重經濟損害，法院在特殊情況下可以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不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核發禁制令，或給予被告短暫使用的「寬限期（</w:t>
            </w:r>
            <w:proofErr w:type="spell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Aufbrauchfrist</w:t>
            </w:r>
            <w:proofErr w:type="spell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>。</w:t>
            </w:r>
          </w:p>
        </w:tc>
      </w:tr>
    </w:tbl>
    <w:p w:rsidR="00861D0B" w:rsidRPr="00327D7E" w:rsidRDefault="00861D0B">
      <w:pPr>
        <w:widowControl/>
        <w:rPr>
          <w:sz w:val="20"/>
          <w:szCs w:val="20"/>
        </w:rPr>
      </w:pPr>
      <w:bookmarkStart w:id="0" w:name="_GoBack"/>
      <w:bookmarkEnd w:id="0"/>
    </w:p>
    <w:sectPr w:rsidR="00861D0B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F7"/>
    <w:rsid w:val="003478FE"/>
    <w:rsid w:val="00351403"/>
    <w:rsid w:val="0038473A"/>
    <w:rsid w:val="003934F9"/>
    <w:rsid w:val="003A72A6"/>
    <w:rsid w:val="00405226"/>
    <w:rsid w:val="00467E37"/>
    <w:rsid w:val="0047427D"/>
    <w:rsid w:val="004B580E"/>
    <w:rsid w:val="00520620"/>
    <w:rsid w:val="00536559"/>
    <w:rsid w:val="00546396"/>
    <w:rsid w:val="00582563"/>
    <w:rsid w:val="00673D4D"/>
    <w:rsid w:val="0069358F"/>
    <w:rsid w:val="00693E2E"/>
    <w:rsid w:val="006B1F6B"/>
    <w:rsid w:val="00703A18"/>
    <w:rsid w:val="00707DF0"/>
    <w:rsid w:val="00751E8C"/>
    <w:rsid w:val="007B3EB0"/>
    <w:rsid w:val="007C4A0E"/>
    <w:rsid w:val="007E4ADC"/>
    <w:rsid w:val="007F7E9A"/>
    <w:rsid w:val="00800831"/>
    <w:rsid w:val="00832E41"/>
    <w:rsid w:val="00861D0B"/>
    <w:rsid w:val="00871FC8"/>
    <w:rsid w:val="0087517A"/>
    <w:rsid w:val="00883F16"/>
    <w:rsid w:val="008D1B6E"/>
    <w:rsid w:val="008F4EE6"/>
    <w:rsid w:val="0092228A"/>
    <w:rsid w:val="0097671F"/>
    <w:rsid w:val="00976859"/>
    <w:rsid w:val="009874D8"/>
    <w:rsid w:val="009E242B"/>
    <w:rsid w:val="009F73AC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6448"/>
    <w:rsid w:val="00F52C54"/>
    <w:rsid w:val="00F7564B"/>
    <w:rsid w:val="00FC24E6"/>
    <w:rsid w:val="00FC3590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44FDC6-C2B1-461B-BF08-5E911FB0F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78</cp:revision>
  <dcterms:created xsi:type="dcterms:W3CDTF">2026-07-22T03:41:00Z</dcterms:created>
  <dcterms:modified xsi:type="dcterms:W3CDTF">2026-08-05T00:57:00Z</dcterms:modified>
</cp:coreProperties>
</file>