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65FB0" w:rsidRPr="00327D7E" w:rsidRDefault="002B2418" w:rsidP="00D65FB0">
      <w:pPr>
        <w:jc w:val="center"/>
        <w:rPr>
          <w:sz w:val="20"/>
          <w:szCs w:val="20"/>
        </w:rPr>
      </w:pPr>
      <w:r w:rsidRPr="00327D7E">
        <w:rPr>
          <w:rFonts w:hint="eastAsia"/>
          <w:sz w:val="20"/>
          <w:szCs w:val="20"/>
        </w:rPr>
        <w:t>日本</w:t>
      </w:r>
      <w:r w:rsidR="00536559">
        <w:rPr>
          <w:rFonts w:hint="eastAsia"/>
          <w:sz w:val="20"/>
          <w:szCs w:val="20"/>
        </w:rPr>
        <w:t>專利</w:t>
      </w:r>
    </w:p>
    <w:p w:rsidR="002B2418" w:rsidRPr="00327D7E" w:rsidRDefault="00751E8C" w:rsidP="00D65FB0">
      <w:pPr>
        <w:jc w:val="center"/>
        <w:rPr>
          <w:sz w:val="20"/>
          <w:szCs w:val="20"/>
        </w:rPr>
      </w:pPr>
      <w:r w:rsidRPr="00327D7E">
        <w:rPr>
          <w:sz w:val="20"/>
          <w:szCs w:val="20"/>
        </w:rPr>
        <w:t>J-</w:t>
      </w:r>
      <w:proofErr w:type="spellStart"/>
      <w:r w:rsidRPr="00327D7E">
        <w:rPr>
          <w:sz w:val="20"/>
          <w:szCs w:val="20"/>
        </w:rPr>
        <w:t>PlatPat</w:t>
      </w:r>
      <w:proofErr w:type="spellEnd"/>
      <w:r w:rsidRPr="00327D7E">
        <w:rPr>
          <w:sz w:val="20"/>
          <w:szCs w:val="20"/>
        </w:rPr>
        <w:t xml:space="preserve"> </w:t>
      </w:r>
      <w:r w:rsidRPr="00327D7E">
        <w:rPr>
          <w:sz w:val="20"/>
          <w:szCs w:val="20"/>
        </w:rPr>
        <w:t>日本專利資訊平台</w:t>
      </w:r>
      <w:r w:rsidRPr="00327D7E">
        <w:rPr>
          <w:rFonts w:hint="eastAsia"/>
          <w:sz w:val="20"/>
          <w:szCs w:val="20"/>
        </w:rPr>
        <w:t xml:space="preserve"> </w:t>
      </w:r>
      <w:r w:rsidR="00D65FB0" w:rsidRPr="00327D7E">
        <w:rPr>
          <w:rFonts w:hint="eastAsia"/>
          <w:sz w:val="20"/>
          <w:szCs w:val="20"/>
        </w:rPr>
        <w:t>網址：</w:t>
      </w:r>
      <w:r w:rsidRPr="00327D7E">
        <w:rPr>
          <w:sz w:val="20"/>
          <w:szCs w:val="20"/>
        </w:rPr>
        <w:t>https://www.j-platpat.inpit.go.jp/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16"/>
        <w:gridCol w:w="10182"/>
      </w:tblGrid>
      <w:tr w:rsidR="002B2418" w:rsidRPr="00327D7E" w:rsidTr="00861D0B">
        <w:tc>
          <w:tcPr>
            <w:tcW w:w="416" w:type="dxa"/>
            <w:vAlign w:val="center"/>
          </w:tcPr>
          <w:p w:rsidR="002B2418" w:rsidRPr="00327D7E" w:rsidRDefault="002B2418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專利種類</w:t>
            </w:r>
          </w:p>
        </w:tc>
        <w:tc>
          <w:tcPr>
            <w:tcW w:w="10182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86"/>
              <w:gridCol w:w="1986"/>
              <w:gridCol w:w="1987"/>
              <w:gridCol w:w="1986"/>
              <w:gridCol w:w="1987"/>
            </w:tblGrid>
            <w:tr w:rsidR="002B2418" w:rsidRPr="00327D7E" w:rsidTr="00861D0B">
              <w:trPr>
                <w:tblCellSpacing w:w="15" w:type="dxa"/>
              </w:trPr>
              <w:tc>
                <w:tcPr>
                  <w:tcW w:w="194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專利類型</w:t>
                  </w:r>
                </w:p>
              </w:tc>
              <w:tc>
                <w:tcPr>
                  <w:tcW w:w="195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保護對象</w:t>
                  </w:r>
                </w:p>
              </w:tc>
              <w:tc>
                <w:tcPr>
                  <w:tcW w:w="195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審查制度</w:t>
                  </w:r>
                </w:p>
              </w:tc>
              <w:tc>
                <w:tcPr>
                  <w:tcW w:w="195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保護期限（自申請日起算）</w:t>
                  </w:r>
                </w:p>
              </w:tc>
              <w:tc>
                <w:tcPr>
                  <w:tcW w:w="194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jc w:val="center"/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早期公開</w:t>
                  </w:r>
                </w:p>
              </w:tc>
            </w:tr>
            <w:tr w:rsidR="002B2418" w:rsidRPr="00327D7E" w:rsidTr="00861D0B">
              <w:trPr>
                <w:tblCellSpacing w:w="15" w:type="dxa"/>
              </w:trPr>
              <w:tc>
                <w:tcPr>
                  <w:tcW w:w="194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特許（發明）</w:t>
                  </w:r>
                </w:p>
              </w:tc>
              <w:tc>
                <w:tcPr>
                  <w:tcW w:w="195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高高度的技術創作（如方法、配方、系統、軟體演算法）</w:t>
                  </w:r>
                </w:p>
              </w:tc>
              <w:tc>
                <w:tcPr>
                  <w:tcW w:w="195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實體審查制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（須於申請日起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3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年內主動提出實審）</w:t>
                  </w:r>
                </w:p>
              </w:tc>
              <w:tc>
                <w:tcPr>
                  <w:tcW w:w="195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20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（醫藥品等特定領域最多可延長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5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年）</w:t>
                  </w:r>
                </w:p>
              </w:tc>
              <w:tc>
                <w:tcPr>
                  <w:tcW w:w="194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申請日（或優先權日）起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18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個月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後公開</w:t>
                  </w:r>
                </w:p>
              </w:tc>
            </w:tr>
            <w:tr w:rsidR="002B2418" w:rsidRPr="00327D7E" w:rsidTr="00861D0B">
              <w:trPr>
                <w:tblCellSpacing w:w="15" w:type="dxa"/>
              </w:trPr>
              <w:tc>
                <w:tcPr>
                  <w:tcW w:w="1941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實用新案（新型）</w:t>
                  </w:r>
                </w:p>
              </w:tc>
              <w:tc>
                <w:tcPr>
                  <w:tcW w:w="195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物品形狀、構造或組合之技術創作（不含方法與材料）</w:t>
                  </w:r>
                </w:p>
              </w:tc>
              <w:tc>
                <w:tcPr>
                  <w:tcW w:w="1957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形式審查制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（免實體審查，符合基本程序即登記）</w:t>
                  </w:r>
                </w:p>
              </w:tc>
              <w:tc>
                <w:tcPr>
                  <w:tcW w:w="1956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10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1942" w:type="dxa"/>
                  <w:tcBorders>
                    <w:bottom w:val="single" w:sz="6" w:space="0" w:color="DCDFE5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無（直接進行登錄公報）</w:t>
                  </w:r>
                </w:p>
              </w:tc>
            </w:tr>
            <w:tr w:rsidR="002B2418" w:rsidRPr="00327D7E" w:rsidTr="00861D0B">
              <w:trPr>
                <w:tblCellSpacing w:w="15" w:type="dxa"/>
              </w:trPr>
              <w:tc>
                <w:tcPr>
                  <w:tcW w:w="1941" w:type="dxa"/>
                  <w:tcBorders>
                    <w:bottom w:val="nil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bCs/>
                      <w:kern w:val="0"/>
                      <w:sz w:val="20"/>
                      <w:szCs w:val="20"/>
                    </w:rPr>
                    <w:t>意匠（設計）</w:t>
                  </w:r>
                </w:p>
              </w:tc>
              <w:tc>
                <w:tcPr>
                  <w:tcW w:w="1956" w:type="dxa"/>
                  <w:tcBorders>
                    <w:bottom w:val="nil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物品、建築物、圖像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 xml:space="preserve"> (UI) 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等視覺美感上的外觀設計</w:t>
                  </w:r>
                </w:p>
              </w:tc>
              <w:tc>
                <w:tcPr>
                  <w:tcW w:w="1957" w:type="dxa"/>
                  <w:tcBorders>
                    <w:bottom w:val="nil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實體審查制</w:t>
                  </w: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（特許廳自動進行審查，不需另提實審）</w:t>
                  </w:r>
                </w:p>
              </w:tc>
              <w:tc>
                <w:tcPr>
                  <w:tcW w:w="1956" w:type="dxa"/>
                  <w:tcBorders>
                    <w:bottom w:val="nil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25</w:t>
                  </w:r>
                  <w:r w:rsidRPr="00327D7E">
                    <w:rPr>
                      <w:rFonts w:ascii="Arial" w:eastAsia="新細明體" w:hAnsi="Arial" w:cs="Arial"/>
                      <w:b/>
                      <w:kern w:val="0"/>
                      <w:sz w:val="20"/>
                      <w:szCs w:val="20"/>
                    </w:rPr>
                    <w:t>年</w:t>
                  </w:r>
                </w:p>
              </w:tc>
              <w:tc>
                <w:tcPr>
                  <w:tcW w:w="1942" w:type="dxa"/>
                  <w:tcBorders>
                    <w:bottom w:val="nil"/>
                  </w:tcBorders>
                  <w:vAlign w:val="center"/>
                  <w:hideMark/>
                </w:tcPr>
                <w:p w:rsidR="002B2418" w:rsidRPr="00327D7E" w:rsidRDefault="002B2418" w:rsidP="0069358F">
                  <w:pPr>
                    <w:widowControl/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</w:pPr>
                  <w:r w:rsidRPr="00327D7E">
                    <w:rPr>
                      <w:rFonts w:ascii="Arial" w:eastAsia="新細明體" w:hAnsi="Arial" w:cs="Arial"/>
                      <w:kern w:val="0"/>
                      <w:sz w:val="20"/>
                      <w:szCs w:val="20"/>
                    </w:rPr>
                    <w:t>無（核准後直接進行意匠公報）</w:t>
                  </w:r>
                </w:p>
              </w:tc>
            </w:tr>
          </w:tbl>
          <w:p w:rsidR="002B2418" w:rsidRPr="00327D7E" w:rsidRDefault="002B2418" w:rsidP="0069358F">
            <w:pPr>
              <w:jc w:val="center"/>
              <w:rPr>
                <w:sz w:val="20"/>
                <w:szCs w:val="20"/>
              </w:rPr>
            </w:pPr>
          </w:p>
        </w:tc>
      </w:tr>
      <w:tr w:rsidR="002B2418" w:rsidRPr="00327D7E" w:rsidTr="00861D0B">
        <w:tc>
          <w:tcPr>
            <w:tcW w:w="416" w:type="dxa"/>
            <w:vAlign w:val="center"/>
          </w:tcPr>
          <w:p w:rsidR="002B2418" w:rsidRPr="00327D7E" w:rsidRDefault="002B2418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申請要點</w:t>
            </w:r>
          </w:p>
        </w:tc>
        <w:tc>
          <w:tcPr>
            <w:tcW w:w="10182" w:type="dxa"/>
          </w:tcPr>
          <w:p w:rsidR="002B2418" w:rsidRPr="00327D7E" w:rsidRDefault="002B2418" w:rsidP="0069358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新穎性優惠期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(Grace Period)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：若發明人在申請日前因實驗、發表或參展而導致技術內容被公開，在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公開事實發生後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 xml:space="preserve"> 12 </w:t>
            </w:r>
            <w:proofErr w:type="gramStart"/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月內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仍可提出申請，但必須在申請時同步聲明主張。</w:t>
            </w:r>
          </w:p>
          <w:p w:rsidR="002B2418" w:rsidRPr="00327D7E" w:rsidRDefault="002B2418" w:rsidP="0069358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不予受理的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Shift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修正（偏移修正）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：在答覆特許廳的「拒絕理由通知書」時，修正案所限定的技術特徵，不能偏離原先已經過審查的主題。如果大幅變更審查方向，該修正將會被官方拒絕。</w:t>
            </w:r>
          </w:p>
          <w:p w:rsidR="002B2418" w:rsidRPr="00327D7E" w:rsidRDefault="002B2418" w:rsidP="0069358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異議提出制度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：任何人在專利公報發行之日起</w:t>
            </w:r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 xml:space="preserve"> 6 </w:t>
            </w:r>
            <w:proofErr w:type="gramStart"/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個</w:t>
            </w:r>
            <w:proofErr w:type="gramEnd"/>
            <w:r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月內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，皆可基於新穎性或進步性不足等理由，向特許廳提起專利異議，這是一項公眾監督機制。</w:t>
            </w:r>
          </w:p>
          <w:p w:rsidR="002B2418" w:rsidRPr="00327D7E" w:rsidRDefault="002B2418" w:rsidP="0069358F">
            <w:pPr>
              <w:widowControl/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加速審查通道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：為了縮短特許（發明）專利的等待時間，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JPO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提供了加速審查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(Accelerated Examination) 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以及與台灣等各國合作的專利審查高速公路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(PPH)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，符合條件者可免費申請以大幅縮短審查時程。</w:t>
            </w:r>
          </w:p>
        </w:tc>
      </w:tr>
      <w:tr w:rsidR="002B2418" w:rsidRPr="00327D7E" w:rsidTr="00861D0B">
        <w:tc>
          <w:tcPr>
            <w:tcW w:w="416" w:type="dxa"/>
            <w:vAlign w:val="center"/>
          </w:tcPr>
          <w:p w:rsidR="002B2418" w:rsidRPr="00327D7E" w:rsidRDefault="002B2418" w:rsidP="0069358F">
            <w:pPr>
              <w:jc w:val="center"/>
              <w:rPr>
                <w:sz w:val="20"/>
                <w:szCs w:val="20"/>
              </w:rPr>
            </w:pPr>
            <w:r w:rsidRPr="00327D7E">
              <w:rPr>
                <w:rFonts w:hint="eastAsia"/>
                <w:sz w:val="20"/>
                <w:szCs w:val="20"/>
              </w:rPr>
              <w:t>專利爭議侵權</w:t>
            </w:r>
          </w:p>
        </w:tc>
        <w:tc>
          <w:tcPr>
            <w:tcW w:w="10182" w:type="dxa"/>
          </w:tcPr>
          <w:p w:rsidR="002B2418" w:rsidRPr="00327D7E" w:rsidRDefault="002B2418" w:rsidP="0069358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專利異議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(Opposition)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2B2418" w:rsidRPr="00327D7E" w:rsidRDefault="007B3EB0" w:rsidP="0069358F">
            <w:pPr>
              <w:widowControl/>
              <w:numPr>
                <w:ilvl w:val="0"/>
                <w:numId w:val="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2B2418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時效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：專利公告日起</w:t>
            </w:r>
            <w:r w:rsidR="002B2418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 xml:space="preserve"> 6 </w:t>
            </w:r>
            <w:proofErr w:type="gramStart"/>
            <w:r w:rsidR="002B2418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個</w:t>
            </w:r>
            <w:proofErr w:type="gramEnd"/>
            <w:r w:rsidR="002B2418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月內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。</w:t>
            </w:r>
          </w:p>
          <w:p w:rsidR="002B2418" w:rsidRPr="00327D7E" w:rsidRDefault="007B3EB0" w:rsidP="0069358F">
            <w:pPr>
              <w:widowControl/>
              <w:numPr>
                <w:ilvl w:val="0"/>
                <w:numId w:val="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2B2418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適格人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：任何人（任何人皆可提出，不限利害關係人）。</w:t>
            </w:r>
          </w:p>
          <w:p w:rsidR="002B2418" w:rsidRPr="00327D7E" w:rsidRDefault="007B3EB0" w:rsidP="0069358F">
            <w:pPr>
              <w:widowControl/>
              <w:numPr>
                <w:ilvl w:val="0"/>
                <w:numId w:val="1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2B2418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目的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：使專利局能快速重新審視專利核准是否適當。</w:t>
            </w:r>
          </w:p>
          <w:p w:rsidR="002B2418" w:rsidRPr="00327D7E" w:rsidRDefault="002B2418" w:rsidP="0069358F">
            <w:pPr>
              <w:widowControl/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專利無效審判</w:t>
            </w: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 xml:space="preserve"> (Invalidation Trial)</w:t>
            </w: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</w:t>
            </w:r>
          </w:p>
          <w:p w:rsidR="002B2418" w:rsidRPr="00327D7E" w:rsidRDefault="007B3EB0" w:rsidP="0069358F">
            <w:pPr>
              <w:widowControl/>
              <w:numPr>
                <w:ilvl w:val="0"/>
                <w:numId w:val="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2B2418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時效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：專利權有效期間內甚至專利權消滅後皆可提出。</w:t>
            </w:r>
          </w:p>
          <w:p w:rsidR="002B2418" w:rsidRPr="00327D7E" w:rsidRDefault="007B3EB0" w:rsidP="0069358F">
            <w:pPr>
              <w:widowControl/>
              <w:numPr>
                <w:ilvl w:val="0"/>
                <w:numId w:val="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2B2418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適格人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：僅限</w:t>
            </w:r>
            <w:r w:rsidR="002B2418" w:rsidRPr="00327D7E">
              <w:rPr>
                <w:rFonts w:ascii="Arial" w:eastAsia="新細明體" w:hAnsi="Arial" w:cs="Arial"/>
                <w:b/>
                <w:kern w:val="0"/>
                <w:sz w:val="20"/>
                <w:szCs w:val="20"/>
              </w:rPr>
              <w:t>利害關係人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（例如：面臨侵權訴訟或可能受專利權影響的廠商）。</w:t>
            </w:r>
          </w:p>
          <w:p w:rsidR="002B2418" w:rsidRPr="00327D7E" w:rsidRDefault="007B3EB0" w:rsidP="0069358F">
            <w:pPr>
              <w:widowControl/>
              <w:numPr>
                <w:ilvl w:val="0"/>
                <w:numId w:val="2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   </w:t>
            </w: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2B2418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目的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：解決專利權有效性爭議，由特許廳審判官（通常為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3 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至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 xml:space="preserve"> 5 </w:t>
            </w:r>
            <w:r w:rsidR="002B2418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人合議）進行審理。</w:t>
            </w:r>
          </w:p>
          <w:p w:rsidR="002B2418" w:rsidRPr="00327D7E" w:rsidRDefault="00AE0F46" w:rsidP="0069358F">
            <w:pPr>
              <w:widowControl/>
              <w:rPr>
                <w:sz w:val="20"/>
                <w:szCs w:val="20"/>
              </w:rPr>
            </w:pPr>
            <w:r w:rsidRPr="00327D7E">
              <w:rPr>
                <w:sz w:val="20"/>
                <w:szCs w:val="20"/>
              </w:rPr>
              <w:t>在日本，</w:t>
            </w:r>
            <w:r w:rsidRPr="00327D7E">
              <w:rPr>
                <w:b/>
                <w:sz w:val="20"/>
                <w:szCs w:val="20"/>
              </w:rPr>
              <w:t>專利侵權</w:t>
            </w:r>
            <w:r w:rsidRPr="00327D7E">
              <w:rPr>
                <w:sz w:val="20"/>
                <w:szCs w:val="20"/>
              </w:rPr>
              <w:t>的法律救濟主要透過民事訴訟進行，專利權人可向</w:t>
            </w:r>
            <w:r w:rsidRPr="00327D7E">
              <w:rPr>
                <w:b/>
                <w:sz w:val="20"/>
                <w:szCs w:val="20"/>
              </w:rPr>
              <w:t>東京地方法院</w:t>
            </w:r>
            <w:r w:rsidRPr="00327D7E">
              <w:rPr>
                <w:sz w:val="20"/>
                <w:szCs w:val="20"/>
              </w:rPr>
              <w:t>或</w:t>
            </w:r>
            <w:r w:rsidRPr="00327D7E">
              <w:rPr>
                <w:b/>
                <w:sz w:val="20"/>
                <w:szCs w:val="20"/>
              </w:rPr>
              <w:t>大阪地方法院</w:t>
            </w:r>
            <w:r w:rsidRPr="00327D7E">
              <w:rPr>
                <w:sz w:val="20"/>
                <w:szCs w:val="20"/>
              </w:rPr>
              <w:t>提起專利侵權訴訟。</w:t>
            </w:r>
          </w:p>
          <w:p w:rsidR="00AE0F46" w:rsidRPr="00327D7E" w:rsidRDefault="00AE0F46" w:rsidP="0069358F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日本專利侵權訴訟的審理採取遞進式，主要分為三個階段：</w:t>
            </w:r>
          </w:p>
          <w:p w:rsidR="00AE0F46" w:rsidRPr="00327D7E" w:rsidRDefault="007B3EB0" w:rsidP="0069358F">
            <w:pPr>
              <w:widowControl/>
              <w:numPr>
                <w:ilvl w:val="0"/>
                <w:numId w:val="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1. </w:t>
            </w:r>
            <w:r w:rsidR="00AE0F4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判斷專利是否有效</w:t>
            </w:r>
            <w:r w:rsidR="00AE0F4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：確認原告的專利權是否存在無效事由。</w:t>
            </w:r>
          </w:p>
          <w:p w:rsidR="00AE0F46" w:rsidRPr="00327D7E" w:rsidRDefault="007B3EB0" w:rsidP="0069358F">
            <w:pPr>
              <w:widowControl/>
              <w:numPr>
                <w:ilvl w:val="0"/>
                <w:numId w:val="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2. </w:t>
            </w:r>
            <w:r w:rsidR="00AE0F4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判斷被告是否侵權</w:t>
            </w:r>
            <w:r w:rsidR="00AE0F4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：檢視被告的技術或產品是否落入專利權的保護範圍。</w:t>
            </w:r>
          </w:p>
          <w:p w:rsidR="00AE0F46" w:rsidRPr="00327D7E" w:rsidRDefault="007B3EB0" w:rsidP="0069358F">
            <w:pPr>
              <w:widowControl/>
              <w:numPr>
                <w:ilvl w:val="0"/>
                <w:numId w:val="3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 w:hint="eastAsia"/>
                <w:b/>
                <w:bCs/>
                <w:kern w:val="0"/>
                <w:sz w:val="20"/>
                <w:szCs w:val="20"/>
              </w:rPr>
              <w:t xml:space="preserve">3. </w:t>
            </w:r>
            <w:r w:rsidR="00AE0F4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判斷侵權損失額度</w:t>
            </w:r>
            <w:r w:rsidR="00AE0F4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：若確定侵權，則進一步估算應賠償的金額。</w:t>
            </w:r>
          </w:p>
          <w:p w:rsidR="00AE0F46" w:rsidRPr="00327D7E" w:rsidRDefault="00AE0F46" w:rsidP="0069358F">
            <w:pPr>
              <w:widowControl/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主要的法律救濟手段</w:t>
            </w:r>
          </w:p>
          <w:p w:rsidR="00AE0F46" w:rsidRPr="00327D7E" w:rsidRDefault="00AE0F46" w:rsidP="0069358F">
            <w:pPr>
              <w:widowControl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專利權人若遭遇侵權，通常會向法院申請以下兩種形式的民事救濟：</w:t>
            </w:r>
          </w:p>
          <w:p w:rsidR="00AE0F46" w:rsidRPr="00327D7E" w:rsidRDefault="007B3EB0" w:rsidP="0069358F">
            <w:pPr>
              <w:widowControl/>
              <w:numPr>
                <w:ilvl w:val="0"/>
                <w:numId w:val="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AE0F4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禁止請求（申請禁令）</w:t>
            </w:r>
            <w:r w:rsidR="00AE0F4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：要求被告停止製造、販售或使用該侵權產品。</w:t>
            </w:r>
          </w:p>
          <w:p w:rsidR="00AE0F46" w:rsidRPr="00327D7E" w:rsidRDefault="007B3EB0" w:rsidP="0069358F">
            <w:pPr>
              <w:widowControl/>
              <w:numPr>
                <w:ilvl w:val="0"/>
                <w:numId w:val="4"/>
              </w:numPr>
              <w:ind w:left="0"/>
              <w:rPr>
                <w:rFonts w:ascii="Arial" w:eastAsia="新細明體" w:hAnsi="Arial" w:cs="Arial"/>
                <w:kern w:val="0"/>
                <w:sz w:val="20"/>
                <w:szCs w:val="20"/>
              </w:rPr>
            </w:pPr>
            <w:r w:rsidRPr="00327D7E">
              <w:rPr>
                <w:rFonts w:ascii="新細明體" w:eastAsia="新細明體" w:hAnsi="Symbol" w:cs="新細明體"/>
                <w:kern w:val="0"/>
                <w:sz w:val="20"/>
                <w:szCs w:val="20"/>
              </w:rPr>
              <w:t></w:t>
            </w:r>
            <w:r w:rsidRPr="00327D7E">
              <w:rPr>
                <w:rFonts w:ascii="新細明體" w:eastAsia="新細明體" w:hAnsi="新細明體" w:cs="新細明體"/>
                <w:kern w:val="0"/>
                <w:sz w:val="20"/>
                <w:szCs w:val="20"/>
              </w:rPr>
              <w:t xml:space="preserve">  </w:t>
            </w:r>
            <w:r w:rsidR="00AE0F46" w:rsidRPr="00327D7E">
              <w:rPr>
                <w:rFonts w:ascii="Arial" w:eastAsia="新細明體" w:hAnsi="Arial" w:cs="Arial"/>
                <w:b/>
                <w:bCs/>
                <w:kern w:val="0"/>
                <w:sz w:val="20"/>
                <w:szCs w:val="20"/>
              </w:rPr>
              <w:t>損害賠償</w:t>
            </w:r>
            <w:r w:rsidR="00AE0F46" w:rsidRPr="00327D7E">
              <w:rPr>
                <w:rFonts w:ascii="Arial" w:eastAsia="新細明體" w:hAnsi="Arial" w:cs="Arial"/>
                <w:kern w:val="0"/>
                <w:sz w:val="20"/>
                <w:szCs w:val="20"/>
              </w:rPr>
              <w:t>：要求被告補償因侵權行為所造成的經濟損失。</w:t>
            </w:r>
          </w:p>
        </w:tc>
      </w:tr>
    </w:tbl>
    <w:p w:rsidR="008D1B6E" w:rsidRPr="002730EC" w:rsidRDefault="008D1B6E">
      <w:pPr>
        <w:widowControl/>
        <w:rPr>
          <w:sz w:val="20"/>
          <w:szCs w:val="20"/>
        </w:rPr>
      </w:pPr>
      <w:bookmarkStart w:id="0" w:name="_GoBack"/>
      <w:bookmarkEnd w:id="0"/>
    </w:p>
    <w:sectPr w:rsidR="008D1B6E" w:rsidRPr="002730EC" w:rsidSect="002B2418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71825"/>
    <w:multiLevelType w:val="multilevel"/>
    <w:tmpl w:val="CFB87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6D42204"/>
    <w:multiLevelType w:val="multilevel"/>
    <w:tmpl w:val="7978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2A0D8B"/>
    <w:multiLevelType w:val="multilevel"/>
    <w:tmpl w:val="66F2A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A4E7D4E"/>
    <w:multiLevelType w:val="multilevel"/>
    <w:tmpl w:val="EACC1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CDD20A1"/>
    <w:multiLevelType w:val="multilevel"/>
    <w:tmpl w:val="D4544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4205A6"/>
    <w:multiLevelType w:val="multilevel"/>
    <w:tmpl w:val="E6609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3CE7B6F"/>
    <w:multiLevelType w:val="multilevel"/>
    <w:tmpl w:val="391AF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4A35C8A"/>
    <w:multiLevelType w:val="multilevel"/>
    <w:tmpl w:val="C1765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BE26F2B"/>
    <w:multiLevelType w:val="multilevel"/>
    <w:tmpl w:val="4CFCC0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1E8A5424"/>
    <w:multiLevelType w:val="multilevel"/>
    <w:tmpl w:val="44804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34A7591"/>
    <w:multiLevelType w:val="multilevel"/>
    <w:tmpl w:val="0C22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ED130E"/>
    <w:multiLevelType w:val="multilevel"/>
    <w:tmpl w:val="603C6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A8B42EE"/>
    <w:multiLevelType w:val="multilevel"/>
    <w:tmpl w:val="B4048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BEC47AA"/>
    <w:multiLevelType w:val="multilevel"/>
    <w:tmpl w:val="F0465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416C7D"/>
    <w:multiLevelType w:val="multilevel"/>
    <w:tmpl w:val="7344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5361767"/>
    <w:multiLevelType w:val="multilevel"/>
    <w:tmpl w:val="E612D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0A603E"/>
    <w:multiLevelType w:val="multilevel"/>
    <w:tmpl w:val="C4F2E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D43061D"/>
    <w:multiLevelType w:val="multilevel"/>
    <w:tmpl w:val="5DE21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773A08"/>
    <w:multiLevelType w:val="multilevel"/>
    <w:tmpl w:val="FC8AD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880F7B"/>
    <w:multiLevelType w:val="multilevel"/>
    <w:tmpl w:val="10AE5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5C6478"/>
    <w:multiLevelType w:val="multilevel"/>
    <w:tmpl w:val="56C40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7C21A57"/>
    <w:multiLevelType w:val="multilevel"/>
    <w:tmpl w:val="703AE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485B183E"/>
    <w:multiLevelType w:val="multilevel"/>
    <w:tmpl w:val="52003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4A240B92"/>
    <w:multiLevelType w:val="multilevel"/>
    <w:tmpl w:val="27927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B0304A6"/>
    <w:multiLevelType w:val="multilevel"/>
    <w:tmpl w:val="E7C4F4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06B60D2"/>
    <w:multiLevelType w:val="multilevel"/>
    <w:tmpl w:val="5936D8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54F4622B"/>
    <w:multiLevelType w:val="multilevel"/>
    <w:tmpl w:val="B3B80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90A1B6C"/>
    <w:multiLevelType w:val="multilevel"/>
    <w:tmpl w:val="7E9E1910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B20128F"/>
    <w:multiLevelType w:val="multilevel"/>
    <w:tmpl w:val="579E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B632E3B"/>
    <w:multiLevelType w:val="multilevel"/>
    <w:tmpl w:val="98B6F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5BA64B85"/>
    <w:multiLevelType w:val="multilevel"/>
    <w:tmpl w:val="D99CEB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5BCC6494"/>
    <w:multiLevelType w:val="multilevel"/>
    <w:tmpl w:val="94FAC2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5CE74F33"/>
    <w:multiLevelType w:val="multilevel"/>
    <w:tmpl w:val="487651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5F9772EE"/>
    <w:multiLevelType w:val="multilevel"/>
    <w:tmpl w:val="E1A64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03A490D"/>
    <w:multiLevelType w:val="multilevel"/>
    <w:tmpl w:val="8F6A4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608B7C6C"/>
    <w:multiLevelType w:val="multilevel"/>
    <w:tmpl w:val="FCE22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636C02A7"/>
    <w:multiLevelType w:val="multilevel"/>
    <w:tmpl w:val="D97CF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4C704CD"/>
    <w:multiLevelType w:val="multilevel"/>
    <w:tmpl w:val="A6FC9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67322985"/>
    <w:multiLevelType w:val="multilevel"/>
    <w:tmpl w:val="2C925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>
    <w:nsid w:val="68C75A7A"/>
    <w:multiLevelType w:val="multilevel"/>
    <w:tmpl w:val="7F541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>
    <w:nsid w:val="69801B25"/>
    <w:multiLevelType w:val="multilevel"/>
    <w:tmpl w:val="01BCC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>
    <w:nsid w:val="6AB32F3D"/>
    <w:multiLevelType w:val="multilevel"/>
    <w:tmpl w:val="CFF8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>
    <w:nsid w:val="6B0322E6"/>
    <w:multiLevelType w:val="multilevel"/>
    <w:tmpl w:val="12DE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>
    <w:nsid w:val="6C2B6BC2"/>
    <w:multiLevelType w:val="multilevel"/>
    <w:tmpl w:val="6F848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6E091374"/>
    <w:multiLevelType w:val="multilevel"/>
    <w:tmpl w:val="DCBEF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1D53EBA"/>
    <w:multiLevelType w:val="multilevel"/>
    <w:tmpl w:val="4B72B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CB165E1"/>
    <w:multiLevelType w:val="multilevel"/>
    <w:tmpl w:val="79E6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>
    <w:nsid w:val="7EDB6807"/>
    <w:multiLevelType w:val="multilevel"/>
    <w:tmpl w:val="20549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>
    <w:nsid w:val="7F77415D"/>
    <w:multiLevelType w:val="multilevel"/>
    <w:tmpl w:val="79EA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6"/>
  </w:num>
  <w:num w:numId="2">
    <w:abstractNumId w:val="33"/>
  </w:num>
  <w:num w:numId="3">
    <w:abstractNumId w:val="8"/>
  </w:num>
  <w:num w:numId="4">
    <w:abstractNumId w:val="21"/>
  </w:num>
  <w:num w:numId="5">
    <w:abstractNumId w:val="45"/>
  </w:num>
  <w:num w:numId="6">
    <w:abstractNumId w:val="39"/>
  </w:num>
  <w:num w:numId="7">
    <w:abstractNumId w:val="11"/>
  </w:num>
  <w:num w:numId="8">
    <w:abstractNumId w:val="0"/>
  </w:num>
  <w:num w:numId="9">
    <w:abstractNumId w:val="25"/>
  </w:num>
  <w:num w:numId="10">
    <w:abstractNumId w:val="41"/>
  </w:num>
  <w:num w:numId="11">
    <w:abstractNumId w:val="22"/>
  </w:num>
  <w:num w:numId="12">
    <w:abstractNumId w:val="6"/>
  </w:num>
  <w:num w:numId="13">
    <w:abstractNumId w:val="14"/>
  </w:num>
  <w:num w:numId="14">
    <w:abstractNumId w:val="32"/>
  </w:num>
  <w:num w:numId="15">
    <w:abstractNumId w:val="26"/>
  </w:num>
  <w:num w:numId="16">
    <w:abstractNumId w:val="27"/>
  </w:num>
  <w:num w:numId="17">
    <w:abstractNumId w:val="10"/>
  </w:num>
  <w:num w:numId="18">
    <w:abstractNumId w:val="23"/>
  </w:num>
  <w:num w:numId="19">
    <w:abstractNumId w:val="3"/>
  </w:num>
  <w:num w:numId="20">
    <w:abstractNumId w:val="30"/>
  </w:num>
  <w:num w:numId="21">
    <w:abstractNumId w:val="20"/>
  </w:num>
  <w:num w:numId="22">
    <w:abstractNumId w:val="28"/>
  </w:num>
  <w:num w:numId="23">
    <w:abstractNumId w:val="24"/>
  </w:num>
  <w:num w:numId="24">
    <w:abstractNumId w:val="2"/>
  </w:num>
  <w:num w:numId="25">
    <w:abstractNumId w:val="40"/>
  </w:num>
  <w:num w:numId="26">
    <w:abstractNumId w:val="9"/>
  </w:num>
  <w:num w:numId="27">
    <w:abstractNumId w:val="35"/>
  </w:num>
  <w:num w:numId="28">
    <w:abstractNumId w:val="13"/>
  </w:num>
  <w:num w:numId="29">
    <w:abstractNumId w:val="34"/>
  </w:num>
  <w:num w:numId="30">
    <w:abstractNumId w:val="7"/>
  </w:num>
  <w:num w:numId="31">
    <w:abstractNumId w:val="18"/>
  </w:num>
  <w:num w:numId="32">
    <w:abstractNumId w:val="19"/>
  </w:num>
  <w:num w:numId="33">
    <w:abstractNumId w:val="12"/>
  </w:num>
  <w:num w:numId="34">
    <w:abstractNumId w:val="31"/>
  </w:num>
  <w:num w:numId="35">
    <w:abstractNumId w:val="4"/>
  </w:num>
  <w:num w:numId="36">
    <w:abstractNumId w:val="48"/>
  </w:num>
  <w:num w:numId="37">
    <w:abstractNumId w:val="44"/>
  </w:num>
  <w:num w:numId="38">
    <w:abstractNumId w:val="17"/>
  </w:num>
  <w:num w:numId="39">
    <w:abstractNumId w:val="29"/>
  </w:num>
  <w:num w:numId="40">
    <w:abstractNumId w:val="42"/>
  </w:num>
  <w:num w:numId="41">
    <w:abstractNumId w:val="5"/>
  </w:num>
  <w:num w:numId="42">
    <w:abstractNumId w:val="16"/>
  </w:num>
  <w:num w:numId="43">
    <w:abstractNumId w:val="43"/>
  </w:num>
  <w:num w:numId="44">
    <w:abstractNumId w:val="15"/>
  </w:num>
  <w:num w:numId="45">
    <w:abstractNumId w:val="47"/>
  </w:num>
  <w:num w:numId="46">
    <w:abstractNumId w:val="38"/>
  </w:num>
  <w:num w:numId="47">
    <w:abstractNumId w:val="37"/>
  </w:num>
  <w:num w:numId="48">
    <w:abstractNumId w:val="1"/>
  </w:num>
  <w:num w:numId="49">
    <w:abstractNumId w:val="36"/>
  </w:num>
  <w:numIdMacAtCleanup w:val="4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2418"/>
    <w:rsid w:val="000132D8"/>
    <w:rsid w:val="00061066"/>
    <w:rsid w:val="00114651"/>
    <w:rsid w:val="00207493"/>
    <w:rsid w:val="00221986"/>
    <w:rsid w:val="002268FE"/>
    <w:rsid w:val="002614B9"/>
    <w:rsid w:val="002730EC"/>
    <w:rsid w:val="00281ED7"/>
    <w:rsid w:val="002B2418"/>
    <w:rsid w:val="00304F0E"/>
    <w:rsid w:val="00311A04"/>
    <w:rsid w:val="00326595"/>
    <w:rsid w:val="00327D7E"/>
    <w:rsid w:val="00335FF7"/>
    <w:rsid w:val="00351403"/>
    <w:rsid w:val="0038473A"/>
    <w:rsid w:val="003934F9"/>
    <w:rsid w:val="00405226"/>
    <w:rsid w:val="00467E37"/>
    <w:rsid w:val="0047427D"/>
    <w:rsid w:val="004B580E"/>
    <w:rsid w:val="00520620"/>
    <w:rsid w:val="00536559"/>
    <w:rsid w:val="00546396"/>
    <w:rsid w:val="00582563"/>
    <w:rsid w:val="006131E8"/>
    <w:rsid w:val="00673D4D"/>
    <w:rsid w:val="0069358F"/>
    <w:rsid w:val="00693E2E"/>
    <w:rsid w:val="006B1F6B"/>
    <w:rsid w:val="00703A18"/>
    <w:rsid w:val="00707DF0"/>
    <w:rsid w:val="00751E8C"/>
    <w:rsid w:val="007B3EB0"/>
    <w:rsid w:val="007C4A0E"/>
    <w:rsid w:val="007E4ADC"/>
    <w:rsid w:val="007F7E9A"/>
    <w:rsid w:val="00800831"/>
    <w:rsid w:val="00832E41"/>
    <w:rsid w:val="00861D0B"/>
    <w:rsid w:val="00871FC8"/>
    <w:rsid w:val="0087517A"/>
    <w:rsid w:val="00883F16"/>
    <w:rsid w:val="008D1B6E"/>
    <w:rsid w:val="008F4EE6"/>
    <w:rsid w:val="0092228A"/>
    <w:rsid w:val="0097671F"/>
    <w:rsid w:val="00976859"/>
    <w:rsid w:val="009874D8"/>
    <w:rsid w:val="009E242B"/>
    <w:rsid w:val="009F73AC"/>
    <w:rsid w:val="00A24D8F"/>
    <w:rsid w:val="00A31B11"/>
    <w:rsid w:val="00A377C6"/>
    <w:rsid w:val="00AE0F46"/>
    <w:rsid w:val="00AF652F"/>
    <w:rsid w:val="00B1669C"/>
    <w:rsid w:val="00B312BB"/>
    <w:rsid w:val="00B63ACC"/>
    <w:rsid w:val="00B67052"/>
    <w:rsid w:val="00B67EFB"/>
    <w:rsid w:val="00B75DE5"/>
    <w:rsid w:val="00B8067C"/>
    <w:rsid w:val="00B80AFA"/>
    <w:rsid w:val="00BA3845"/>
    <w:rsid w:val="00BB209B"/>
    <w:rsid w:val="00C9490D"/>
    <w:rsid w:val="00CF5C39"/>
    <w:rsid w:val="00D222AA"/>
    <w:rsid w:val="00D65FB0"/>
    <w:rsid w:val="00D97121"/>
    <w:rsid w:val="00DB7E6F"/>
    <w:rsid w:val="00DC2B0F"/>
    <w:rsid w:val="00DC65BD"/>
    <w:rsid w:val="00DF138F"/>
    <w:rsid w:val="00E031AE"/>
    <w:rsid w:val="00E143F6"/>
    <w:rsid w:val="00E333F6"/>
    <w:rsid w:val="00E4178B"/>
    <w:rsid w:val="00EE1147"/>
    <w:rsid w:val="00EF323B"/>
    <w:rsid w:val="00F46448"/>
    <w:rsid w:val="00F52C54"/>
    <w:rsid w:val="00F7564B"/>
    <w:rsid w:val="00FC24E6"/>
    <w:rsid w:val="00FF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2B2418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Strong"/>
    <w:basedOn w:val="a0"/>
    <w:uiPriority w:val="22"/>
    <w:qFormat/>
    <w:rsid w:val="002B2418"/>
    <w:rPr>
      <w:b/>
      <w:bCs/>
    </w:rPr>
  </w:style>
  <w:style w:type="character" w:customStyle="1" w:styleId="inqyif">
    <w:name w:val="inqyif"/>
    <w:basedOn w:val="a0"/>
    <w:rsid w:val="002B2418"/>
  </w:style>
  <w:style w:type="paragraph" w:styleId="a5">
    <w:name w:val="List Paragraph"/>
    <w:basedOn w:val="a"/>
    <w:uiPriority w:val="34"/>
    <w:qFormat/>
    <w:rsid w:val="00335FF7"/>
    <w:pPr>
      <w:ind w:leftChars="200" w:left="480"/>
    </w:pPr>
  </w:style>
  <w:style w:type="character" w:styleId="a6">
    <w:name w:val="Hyperlink"/>
    <w:basedOn w:val="a0"/>
    <w:uiPriority w:val="99"/>
    <w:unhideWhenUsed/>
    <w:rsid w:val="00BA3845"/>
    <w:rPr>
      <w:color w:val="0000FF"/>
      <w:u w:val="single"/>
    </w:rPr>
  </w:style>
  <w:style w:type="character" w:styleId="a7">
    <w:name w:val="Emphasis"/>
    <w:basedOn w:val="a0"/>
    <w:uiPriority w:val="20"/>
    <w:qFormat/>
    <w:rsid w:val="00326595"/>
    <w:rPr>
      <w:i/>
      <w:iCs/>
    </w:rPr>
  </w:style>
  <w:style w:type="character" w:customStyle="1" w:styleId="yadgie">
    <w:name w:val="yadgie"/>
    <w:basedOn w:val="a0"/>
    <w:rsid w:val="00D971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026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9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55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69207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01231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48408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34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5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35719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7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2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16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8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04484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7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82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761289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35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64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35591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164624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633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3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7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69562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9663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97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2629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3953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03933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1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55315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8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0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9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79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38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7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663115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781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67303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172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2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8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76291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694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7843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57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1816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18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1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6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1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13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6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3390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662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465513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029947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77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78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66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75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2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0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97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031424">
                  <w:marLeft w:val="0"/>
                  <w:marRight w:val="0"/>
                  <w:marTop w:val="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4869849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7790904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9518578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03538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055211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118884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575514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066278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97252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60730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80538811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41595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4448808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91035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5824436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0872222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775763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99353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643849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257485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4067807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26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727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8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54632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6375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84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6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30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969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764232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26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7914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85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8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072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28010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63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359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74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146338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3412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01355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86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3726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59093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6350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4688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875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3245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953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7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65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411456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28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42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26134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14938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71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14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92241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8160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36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69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925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88712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01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98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90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22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7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91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06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D852803-ACDD-426C-810A-59EF509CB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</TotalTime>
  <Pages>1</Pages>
  <Words>190</Words>
  <Characters>1086</Characters>
  <Application>Microsoft Office Word</Application>
  <DocSecurity>0</DocSecurity>
  <Lines>9</Lines>
  <Paragraphs>2</Paragraphs>
  <ScaleCrop>false</ScaleCrop>
  <Company/>
  <LinksUpToDate>false</LinksUpToDate>
  <CharactersWithSpaces>1274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76</cp:revision>
  <dcterms:created xsi:type="dcterms:W3CDTF">2026-07-22T03:41:00Z</dcterms:created>
  <dcterms:modified xsi:type="dcterms:W3CDTF">2026-08-05T00:53:00Z</dcterms:modified>
</cp:coreProperties>
</file>